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B8F9D" w14:textId="77777777" w:rsidR="003B10AA" w:rsidRPr="004B332D" w:rsidRDefault="003B10AA" w:rsidP="003B10AA">
      <w:pPr>
        <w:rPr>
          <w:b/>
          <w:sz w:val="76"/>
          <w:szCs w:val="76"/>
        </w:rPr>
      </w:pPr>
      <w:bookmarkStart w:id="0" w:name="_Hlk33516012"/>
      <w:bookmarkStart w:id="1" w:name="_Toc31984029"/>
      <w:bookmarkEnd w:id="0"/>
    </w:p>
    <w:p w14:paraId="77ABE110" w14:textId="77777777" w:rsidR="003B10AA" w:rsidRPr="004B332D" w:rsidRDefault="003B10AA" w:rsidP="003B10AA">
      <w:pPr>
        <w:rPr>
          <w:b/>
          <w:sz w:val="76"/>
          <w:szCs w:val="76"/>
        </w:rPr>
      </w:pPr>
    </w:p>
    <w:p w14:paraId="737B1AF4" w14:textId="77777777" w:rsidR="003B10AA" w:rsidRPr="004B332D" w:rsidRDefault="003B10AA" w:rsidP="003B10AA">
      <w:pPr>
        <w:rPr>
          <w:b/>
          <w:sz w:val="76"/>
          <w:szCs w:val="76"/>
        </w:rPr>
      </w:pPr>
    </w:p>
    <w:p w14:paraId="4C4B0013" w14:textId="77777777" w:rsidR="003B10AA" w:rsidRPr="004B332D" w:rsidRDefault="003B10AA" w:rsidP="003B10AA">
      <w:pPr>
        <w:rPr>
          <w:b/>
          <w:sz w:val="76"/>
          <w:szCs w:val="76"/>
        </w:rPr>
      </w:pPr>
    </w:p>
    <w:p w14:paraId="6B6DD15C" w14:textId="65015D2F" w:rsidR="003B10AA" w:rsidRPr="00BB3D77" w:rsidRDefault="0011531A" w:rsidP="003B10AA">
      <w:pPr>
        <w:rPr>
          <w:b/>
          <w:color w:val="7F7F7F" w:themeColor="text1" w:themeTint="80"/>
          <w:sz w:val="60"/>
          <w:szCs w:val="60"/>
        </w:rPr>
      </w:pPr>
      <w:r w:rsidRPr="00BB3D77">
        <w:rPr>
          <w:b/>
          <w:color w:val="7F7F7F" w:themeColor="text1" w:themeTint="80"/>
          <w:sz w:val="60"/>
          <w:szCs w:val="60"/>
        </w:rPr>
        <w:t>Final Report</w:t>
      </w:r>
    </w:p>
    <w:p w14:paraId="06D24901" w14:textId="0CF8532C" w:rsidR="007416FC" w:rsidRPr="00BB3D77" w:rsidRDefault="000D7CF4" w:rsidP="003B10AA">
      <w:pPr>
        <w:rPr>
          <w:sz w:val="32"/>
          <w:szCs w:val="32"/>
        </w:rPr>
      </w:pPr>
      <w:r w:rsidRPr="00BB3D77">
        <w:rPr>
          <w:sz w:val="32"/>
          <w:szCs w:val="32"/>
        </w:rPr>
        <w:t xml:space="preserve">The Economic and Social Impacts of </w:t>
      </w:r>
      <w:r w:rsidR="006E748D">
        <w:rPr>
          <w:sz w:val="32"/>
          <w:szCs w:val="32"/>
        </w:rPr>
        <w:t>Indigenous Financial Institutions</w:t>
      </w:r>
      <w:r w:rsidRPr="00BB3D77">
        <w:rPr>
          <w:sz w:val="32"/>
          <w:szCs w:val="32"/>
        </w:rPr>
        <w:t xml:space="preserve">: A Model-based Approach with Case </w:t>
      </w:r>
      <w:r w:rsidR="00260AA0" w:rsidRPr="00BB3D77">
        <w:rPr>
          <w:sz w:val="32"/>
          <w:szCs w:val="32"/>
        </w:rPr>
        <w:t>Illustrations</w:t>
      </w:r>
    </w:p>
    <w:p w14:paraId="4A8444C2" w14:textId="77777777" w:rsidR="007416FC" w:rsidRPr="00BB3D77" w:rsidRDefault="007416FC" w:rsidP="003B10AA">
      <w:pPr>
        <w:rPr>
          <w:color w:val="7F7F7F" w:themeColor="text1" w:themeTint="80"/>
        </w:rPr>
      </w:pPr>
    </w:p>
    <w:p w14:paraId="5049292D" w14:textId="77777777" w:rsidR="00923F60" w:rsidRPr="00BB3D77" w:rsidRDefault="00923F60" w:rsidP="00923F60">
      <w:pPr>
        <w:pStyle w:val="BasicParagraph"/>
        <w:spacing w:line="276" w:lineRule="auto"/>
        <w:rPr>
          <w:rFonts w:ascii="Arial" w:hAnsi="Arial" w:cs="Arial"/>
          <w:sz w:val="28"/>
          <w:szCs w:val="28"/>
        </w:rPr>
      </w:pPr>
      <w:bookmarkStart w:id="2" w:name="_Hlk36019024"/>
      <w:r w:rsidRPr="00BB3D77">
        <w:rPr>
          <w:rFonts w:ascii="Arial" w:hAnsi="Arial" w:cs="Arial"/>
          <w:sz w:val="28"/>
          <w:szCs w:val="28"/>
        </w:rPr>
        <w:t>Presented to:</w:t>
      </w:r>
    </w:p>
    <w:bookmarkEnd w:id="2"/>
    <w:p w14:paraId="2CDB1CF1" w14:textId="3FDFC30B" w:rsidR="00923F60" w:rsidRPr="00BB3D77" w:rsidRDefault="000D7CF4" w:rsidP="00923F60">
      <w:pPr>
        <w:pStyle w:val="BasicParagraph"/>
        <w:spacing w:line="276" w:lineRule="auto"/>
        <w:rPr>
          <w:rFonts w:ascii="Arial" w:hAnsi="Arial" w:cs="Arial"/>
          <w:sz w:val="28"/>
          <w:szCs w:val="28"/>
        </w:rPr>
      </w:pPr>
      <w:r w:rsidRPr="00BB3D77">
        <w:rPr>
          <w:rFonts w:ascii="Arial" w:hAnsi="Arial" w:cs="Arial"/>
          <w:sz w:val="28"/>
          <w:szCs w:val="28"/>
        </w:rPr>
        <w:t>National Aboriginal Capital Corporations Association</w:t>
      </w:r>
    </w:p>
    <w:p w14:paraId="6CF20F9B" w14:textId="77777777" w:rsidR="00923F60" w:rsidRPr="00BB3D77" w:rsidRDefault="00923F60" w:rsidP="00923F60">
      <w:pPr>
        <w:pStyle w:val="BasicParagraph"/>
        <w:spacing w:line="276" w:lineRule="auto"/>
        <w:rPr>
          <w:rFonts w:ascii="Arial" w:hAnsi="Arial" w:cs="Arial"/>
          <w:sz w:val="28"/>
          <w:szCs w:val="28"/>
        </w:rPr>
      </w:pPr>
    </w:p>
    <w:p w14:paraId="1D4DA725" w14:textId="77777777" w:rsidR="00923F60" w:rsidRPr="00BB3D77" w:rsidRDefault="00923F60" w:rsidP="00923F60">
      <w:pPr>
        <w:pStyle w:val="BasicParagraph"/>
        <w:spacing w:line="276" w:lineRule="auto"/>
        <w:rPr>
          <w:rFonts w:ascii="Arial" w:hAnsi="Arial" w:cs="Arial"/>
          <w:sz w:val="28"/>
          <w:szCs w:val="28"/>
        </w:rPr>
      </w:pPr>
      <w:bookmarkStart w:id="3" w:name="_Hlk36019029"/>
      <w:r w:rsidRPr="00BB3D77">
        <w:rPr>
          <w:rFonts w:ascii="Arial" w:hAnsi="Arial" w:cs="Arial"/>
          <w:sz w:val="28"/>
          <w:szCs w:val="28"/>
        </w:rPr>
        <w:t>Prepared by:</w:t>
      </w:r>
    </w:p>
    <w:p w14:paraId="4711F767" w14:textId="77777777" w:rsidR="00923F60" w:rsidRPr="00BB3D77" w:rsidRDefault="00923F60" w:rsidP="00923F60">
      <w:pPr>
        <w:pStyle w:val="BasicParagraph"/>
        <w:spacing w:line="276" w:lineRule="auto"/>
        <w:rPr>
          <w:rFonts w:ascii="Arial" w:hAnsi="Arial" w:cs="Arial"/>
          <w:sz w:val="28"/>
          <w:szCs w:val="28"/>
        </w:rPr>
      </w:pPr>
      <w:r w:rsidRPr="00BB3D77">
        <w:rPr>
          <w:rFonts w:ascii="Arial" w:hAnsi="Arial" w:cs="Arial"/>
          <w:sz w:val="28"/>
          <w:szCs w:val="28"/>
        </w:rPr>
        <w:t>The Conference Board of Canada</w:t>
      </w:r>
    </w:p>
    <w:p w14:paraId="174D16C4" w14:textId="2DC2B8DA" w:rsidR="00923F60" w:rsidRPr="00BB3D77" w:rsidRDefault="000D7CF4" w:rsidP="00923F60">
      <w:pPr>
        <w:pStyle w:val="BasicParagraph"/>
        <w:spacing w:line="276" w:lineRule="auto"/>
        <w:rPr>
          <w:rFonts w:ascii="Arial" w:hAnsi="Arial" w:cs="Arial"/>
          <w:sz w:val="28"/>
          <w:szCs w:val="28"/>
        </w:rPr>
      </w:pPr>
      <w:r w:rsidRPr="00BB3D77">
        <w:rPr>
          <w:rFonts w:ascii="Arial" w:hAnsi="Arial" w:cs="Arial"/>
          <w:sz w:val="28"/>
          <w:szCs w:val="28"/>
        </w:rPr>
        <w:t>202</w:t>
      </w:r>
      <w:r w:rsidR="00B81B81" w:rsidRPr="00BB3D77">
        <w:rPr>
          <w:rFonts w:ascii="Arial" w:hAnsi="Arial" w:cs="Arial"/>
          <w:sz w:val="28"/>
          <w:szCs w:val="28"/>
        </w:rPr>
        <w:t>3</w:t>
      </w:r>
    </w:p>
    <w:bookmarkEnd w:id="3"/>
    <w:p w14:paraId="4F32E4A9" w14:textId="7B7BC65B" w:rsidR="00F602BA" w:rsidRPr="00BB3D77" w:rsidRDefault="003306CB">
      <w:pPr>
        <w:rPr>
          <w:rFonts w:eastAsia="Calibri"/>
          <w:b/>
          <w:bCs w:val="0"/>
          <w:color w:val="00B3F0"/>
          <w:sz w:val="44"/>
          <w:szCs w:val="44"/>
        </w:rPr>
      </w:pPr>
      <w:r w:rsidRPr="00BB3D77">
        <w:rPr>
          <w:noProof/>
        </w:rPr>
        <w:drawing>
          <wp:anchor distT="0" distB="0" distL="114300" distR="114300" simplePos="0" relativeHeight="251660288" behindDoc="1" locked="1" layoutInCell="1" allowOverlap="0" wp14:anchorId="5AF9A081" wp14:editId="3E580C65">
            <wp:simplePos x="0" y="0"/>
            <wp:positionH relativeFrom="page">
              <wp:posOffset>635</wp:posOffset>
            </wp:positionH>
            <wp:positionV relativeFrom="page">
              <wp:posOffset>-6350</wp:posOffset>
            </wp:positionV>
            <wp:extent cx="7772400" cy="10058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53_Custom-Report_EN-Cover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sidR="00F602BA" w:rsidRPr="00BB3D77">
        <w:rPr>
          <w:rFonts w:eastAsia="Calibri"/>
          <w:b/>
          <w:color w:val="00B3F0"/>
          <w:sz w:val="44"/>
          <w:szCs w:val="44"/>
        </w:rPr>
        <w:br w:type="page"/>
      </w:r>
    </w:p>
    <w:p w14:paraId="01E6F69E" w14:textId="6AE298B0" w:rsidR="00BF6BD9" w:rsidRPr="00BB3D77" w:rsidRDefault="00BF6BD9" w:rsidP="004450E2">
      <w:pPr>
        <w:pStyle w:val="TOC1"/>
      </w:pPr>
      <w:r w:rsidRPr="00BB3D77">
        <w:lastRenderedPageBreak/>
        <w:t>C</w:t>
      </w:r>
      <w:r w:rsidR="0040348E" w:rsidRPr="00BB3D77">
        <w:t>ontents</w:t>
      </w:r>
    </w:p>
    <w:p w14:paraId="188D514A" w14:textId="4F8C97F2" w:rsidR="00FD2102" w:rsidRDefault="00362E1F">
      <w:pPr>
        <w:pStyle w:val="TOC1"/>
        <w:rPr>
          <w:rFonts w:asciiTheme="minorHAnsi" w:eastAsiaTheme="minorEastAsia" w:hAnsiTheme="minorHAnsi" w:cstheme="minorBidi"/>
          <w:bCs w:val="0"/>
          <w:noProof/>
          <w:kern w:val="2"/>
          <w:lang w:val="en-CA" w:eastAsia="en-CA"/>
          <w14:ligatures w14:val="standardContextual"/>
        </w:rPr>
      </w:pPr>
      <w:r w:rsidRPr="00BB3D77">
        <w:rPr>
          <w:rFonts w:eastAsia="Calibri"/>
          <w:b/>
          <w:color w:val="00B3F0"/>
          <w:sz w:val="44"/>
          <w:szCs w:val="44"/>
        </w:rPr>
        <w:fldChar w:fldCharType="begin"/>
      </w:r>
      <w:r w:rsidRPr="00BB3D77">
        <w:rPr>
          <w:rFonts w:eastAsia="Calibri"/>
          <w:b/>
          <w:color w:val="00B3F0"/>
          <w:sz w:val="44"/>
          <w:szCs w:val="44"/>
        </w:rPr>
        <w:instrText xml:space="preserve"> TOC \o "1-6" \h \z \u </w:instrText>
      </w:r>
      <w:r w:rsidRPr="00BB3D77">
        <w:rPr>
          <w:rFonts w:eastAsia="Calibri"/>
          <w:b/>
          <w:color w:val="00B3F0"/>
          <w:sz w:val="44"/>
          <w:szCs w:val="44"/>
        </w:rPr>
        <w:fldChar w:fldCharType="separate"/>
      </w:r>
      <w:hyperlink w:anchor="_Toc136865072" w:history="1">
        <w:r w:rsidR="00FD2102" w:rsidRPr="004E2E55">
          <w:rPr>
            <w:rStyle w:val="Hyperlink"/>
            <w:noProof/>
          </w:rPr>
          <w:t>Executive Summary</w:t>
        </w:r>
        <w:r w:rsidR="00FD2102">
          <w:rPr>
            <w:noProof/>
            <w:webHidden/>
          </w:rPr>
          <w:tab/>
        </w:r>
        <w:r w:rsidR="00FD2102">
          <w:rPr>
            <w:noProof/>
            <w:webHidden/>
          </w:rPr>
          <w:fldChar w:fldCharType="begin"/>
        </w:r>
        <w:r w:rsidR="00FD2102">
          <w:rPr>
            <w:noProof/>
            <w:webHidden/>
          </w:rPr>
          <w:instrText xml:space="preserve"> PAGEREF _Toc136865072 \h </w:instrText>
        </w:r>
        <w:r w:rsidR="00FD2102">
          <w:rPr>
            <w:noProof/>
            <w:webHidden/>
          </w:rPr>
        </w:r>
        <w:r w:rsidR="00FD2102">
          <w:rPr>
            <w:noProof/>
            <w:webHidden/>
          </w:rPr>
          <w:fldChar w:fldCharType="separate"/>
        </w:r>
        <w:r w:rsidR="00220F3D">
          <w:rPr>
            <w:noProof/>
            <w:webHidden/>
          </w:rPr>
          <w:t>4</w:t>
        </w:r>
        <w:r w:rsidR="00FD2102">
          <w:rPr>
            <w:noProof/>
            <w:webHidden/>
          </w:rPr>
          <w:fldChar w:fldCharType="end"/>
        </w:r>
      </w:hyperlink>
    </w:p>
    <w:p w14:paraId="00743AA9" w14:textId="6209E9EE" w:rsidR="00FD2102" w:rsidRDefault="00FD2102">
      <w:pPr>
        <w:pStyle w:val="TOC1"/>
        <w:rPr>
          <w:rFonts w:asciiTheme="minorHAnsi" w:eastAsiaTheme="minorEastAsia" w:hAnsiTheme="minorHAnsi" w:cstheme="minorBidi"/>
          <w:bCs w:val="0"/>
          <w:noProof/>
          <w:kern w:val="2"/>
          <w:lang w:val="en-CA" w:eastAsia="en-CA"/>
          <w14:ligatures w14:val="standardContextual"/>
        </w:rPr>
      </w:pPr>
      <w:hyperlink w:anchor="_Toc136865073" w:history="1">
        <w:r w:rsidRPr="004E2E55">
          <w:rPr>
            <w:rStyle w:val="Hyperlink"/>
            <w:noProof/>
          </w:rPr>
          <w:t>Introduction</w:t>
        </w:r>
        <w:r>
          <w:rPr>
            <w:noProof/>
            <w:webHidden/>
          </w:rPr>
          <w:tab/>
        </w:r>
        <w:r>
          <w:rPr>
            <w:noProof/>
            <w:webHidden/>
          </w:rPr>
          <w:fldChar w:fldCharType="begin"/>
        </w:r>
        <w:r>
          <w:rPr>
            <w:noProof/>
            <w:webHidden/>
          </w:rPr>
          <w:instrText xml:space="preserve"> PAGEREF _Toc136865073 \h </w:instrText>
        </w:r>
        <w:r>
          <w:rPr>
            <w:noProof/>
            <w:webHidden/>
          </w:rPr>
        </w:r>
        <w:r>
          <w:rPr>
            <w:noProof/>
            <w:webHidden/>
          </w:rPr>
          <w:fldChar w:fldCharType="separate"/>
        </w:r>
        <w:r w:rsidR="00220F3D">
          <w:rPr>
            <w:noProof/>
            <w:webHidden/>
          </w:rPr>
          <w:t>7</w:t>
        </w:r>
        <w:r>
          <w:rPr>
            <w:noProof/>
            <w:webHidden/>
          </w:rPr>
          <w:fldChar w:fldCharType="end"/>
        </w:r>
      </w:hyperlink>
    </w:p>
    <w:p w14:paraId="05FB1068" w14:textId="549B386C" w:rsidR="00FD2102" w:rsidRDefault="00FD2102">
      <w:pPr>
        <w:pStyle w:val="TOC1"/>
        <w:rPr>
          <w:rFonts w:asciiTheme="minorHAnsi" w:eastAsiaTheme="minorEastAsia" w:hAnsiTheme="minorHAnsi" w:cstheme="minorBidi"/>
          <w:bCs w:val="0"/>
          <w:noProof/>
          <w:kern w:val="2"/>
          <w:lang w:val="en-CA" w:eastAsia="en-CA"/>
          <w14:ligatures w14:val="standardContextual"/>
        </w:rPr>
      </w:pPr>
      <w:hyperlink w:anchor="_Toc136865074" w:history="1">
        <w:r w:rsidRPr="004E2E55">
          <w:rPr>
            <w:rStyle w:val="Hyperlink"/>
            <w:noProof/>
          </w:rPr>
          <w:t>Chapter 1</w:t>
        </w:r>
        <w:r>
          <w:rPr>
            <w:noProof/>
            <w:webHidden/>
          </w:rPr>
          <w:tab/>
        </w:r>
        <w:r>
          <w:rPr>
            <w:noProof/>
            <w:webHidden/>
          </w:rPr>
          <w:fldChar w:fldCharType="begin"/>
        </w:r>
        <w:r>
          <w:rPr>
            <w:noProof/>
            <w:webHidden/>
          </w:rPr>
          <w:instrText xml:space="preserve"> PAGEREF _Toc136865074 \h </w:instrText>
        </w:r>
        <w:r>
          <w:rPr>
            <w:noProof/>
            <w:webHidden/>
          </w:rPr>
        </w:r>
        <w:r>
          <w:rPr>
            <w:noProof/>
            <w:webHidden/>
          </w:rPr>
          <w:fldChar w:fldCharType="separate"/>
        </w:r>
        <w:r w:rsidR="00220F3D">
          <w:rPr>
            <w:noProof/>
            <w:webHidden/>
          </w:rPr>
          <w:t>9</w:t>
        </w:r>
        <w:r>
          <w:rPr>
            <w:noProof/>
            <w:webHidden/>
          </w:rPr>
          <w:fldChar w:fldCharType="end"/>
        </w:r>
      </w:hyperlink>
    </w:p>
    <w:p w14:paraId="0BB1234D" w14:textId="157EA12B" w:rsidR="00FD2102" w:rsidRDefault="00FD2102">
      <w:pPr>
        <w:pStyle w:val="TOC2"/>
        <w:rPr>
          <w:rFonts w:asciiTheme="minorHAnsi" w:eastAsiaTheme="minorEastAsia" w:hAnsiTheme="minorHAnsi" w:cstheme="minorBidi"/>
          <w:bCs w:val="0"/>
          <w:noProof/>
          <w:kern w:val="2"/>
          <w:lang w:val="en-CA" w:eastAsia="en-CA"/>
          <w14:ligatures w14:val="standardContextual"/>
        </w:rPr>
      </w:pPr>
      <w:hyperlink w:anchor="_Toc136865075" w:history="1">
        <w:r w:rsidRPr="004E2E55">
          <w:rPr>
            <w:rStyle w:val="Hyperlink"/>
            <w:noProof/>
          </w:rPr>
          <w:t>Estimating the Economic Impacts of IFI-Driven Finance</w:t>
        </w:r>
        <w:r>
          <w:rPr>
            <w:noProof/>
            <w:webHidden/>
          </w:rPr>
          <w:tab/>
        </w:r>
        <w:r>
          <w:rPr>
            <w:noProof/>
            <w:webHidden/>
          </w:rPr>
          <w:fldChar w:fldCharType="begin"/>
        </w:r>
        <w:r>
          <w:rPr>
            <w:noProof/>
            <w:webHidden/>
          </w:rPr>
          <w:instrText xml:space="preserve"> PAGEREF _Toc136865075 \h </w:instrText>
        </w:r>
        <w:r>
          <w:rPr>
            <w:noProof/>
            <w:webHidden/>
          </w:rPr>
        </w:r>
        <w:r>
          <w:rPr>
            <w:noProof/>
            <w:webHidden/>
          </w:rPr>
          <w:fldChar w:fldCharType="separate"/>
        </w:r>
        <w:r w:rsidR="00220F3D">
          <w:rPr>
            <w:noProof/>
            <w:webHidden/>
          </w:rPr>
          <w:t>9</w:t>
        </w:r>
        <w:r>
          <w:rPr>
            <w:noProof/>
            <w:webHidden/>
          </w:rPr>
          <w:fldChar w:fldCharType="end"/>
        </w:r>
      </w:hyperlink>
    </w:p>
    <w:p w14:paraId="25A404D1" w14:textId="45480531" w:rsidR="00FD2102" w:rsidRDefault="00FD2102">
      <w:pPr>
        <w:pStyle w:val="TOC3"/>
        <w:rPr>
          <w:rFonts w:asciiTheme="minorHAnsi" w:eastAsiaTheme="minorEastAsia" w:hAnsiTheme="minorHAnsi" w:cstheme="minorBidi"/>
          <w:bCs w:val="0"/>
          <w:noProof/>
          <w:kern w:val="2"/>
          <w:lang w:val="en-CA" w:eastAsia="en-CA"/>
          <w14:ligatures w14:val="standardContextual"/>
        </w:rPr>
      </w:pPr>
      <w:hyperlink w:anchor="_Toc136865076" w:history="1">
        <w:r w:rsidRPr="004E2E55">
          <w:rPr>
            <w:rStyle w:val="Hyperlink"/>
            <w:noProof/>
          </w:rPr>
          <w:t>Summary of model inputs</w:t>
        </w:r>
        <w:r>
          <w:rPr>
            <w:noProof/>
            <w:webHidden/>
          </w:rPr>
          <w:tab/>
        </w:r>
        <w:r>
          <w:rPr>
            <w:noProof/>
            <w:webHidden/>
          </w:rPr>
          <w:fldChar w:fldCharType="begin"/>
        </w:r>
        <w:r>
          <w:rPr>
            <w:noProof/>
            <w:webHidden/>
          </w:rPr>
          <w:instrText xml:space="preserve"> PAGEREF _Toc136865076 \h </w:instrText>
        </w:r>
        <w:r>
          <w:rPr>
            <w:noProof/>
            <w:webHidden/>
          </w:rPr>
        </w:r>
        <w:r>
          <w:rPr>
            <w:noProof/>
            <w:webHidden/>
          </w:rPr>
          <w:fldChar w:fldCharType="separate"/>
        </w:r>
        <w:r w:rsidR="00220F3D">
          <w:rPr>
            <w:noProof/>
            <w:webHidden/>
          </w:rPr>
          <w:t>10</w:t>
        </w:r>
        <w:r>
          <w:rPr>
            <w:noProof/>
            <w:webHidden/>
          </w:rPr>
          <w:fldChar w:fldCharType="end"/>
        </w:r>
      </w:hyperlink>
    </w:p>
    <w:p w14:paraId="20599735" w14:textId="3F1D66CF" w:rsidR="00FD2102" w:rsidRDefault="00FD2102">
      <w:pPr>
        <w:pStyle w:val="TOC3"/>
        <w:rPr>
          <w:rFonts w:asciiTheme="minorHAnsi" w:eastAsiaTheme="minorEastAsia" w:hAnsiTheme="minorHAnsi" w:cstheme="minorBidi"/>
          <w:bCs w:val="0"/>
          <w:noProof/>
          <w:kern w:val="2"/>
          <w:lang w:val="en-CA" w:eastAsia="en-CA"/>
          <w14:ligatures w14:val="standardContextual"/>
        </w:rPr>
      </w:pPr>
      <w:hyperlink w:anchor="_Toc136865077" w:history="1">
        <w:r w:rsidRPr="004E2E55">
          <w:rPr>
            <w:rStyle w:val="Hyperlink"/>
            <w:noProof/>
          </w:rPr>
          <w:t>Summary of modeling assumptions and outputs</w:t>
        </w:r>
        <w:r>
          <w:rPr>
            <w:noProof/>
            <w:webHidden/>
          </w:rPr>
          <w:tab/>
        </w:r>
        <w:r>
          <w:rPr>
            <w:noProof/>
            <w:webHidden/>
          </w:rPr>
          <w:fldChar w:fldCharType="begin"/>
        </w:r>
        <w:r>
          <w:rPr>
            <w:noProof/>
            <w:webHidden/>
          </w:rPr>
          <w:instrText xml:space="preserve"> PAGEREF _Toc136865077 \h </w:instrText>
        </w:r>
        <w:r>
          <w:rPr>
            <w:noProof/>
            <w:webHidden/>
          </w:rPr>
        </w:r>
        <w:r>
          <w:rPr>
            <w:noProof/>
            <w:webHidden/>
          </w:rPr>
          <w:fldChar w:fldCharType="separate"/>
        </w:r>
        <w:r w:rsidR="00220F3D">
          <w:rPr>
            <w:noProof/>
            <w:webHidden/>
          </w:rPr>
          <w:t>12</w:t>
        </w:r>
        <w:r>
          <w:rPr>
            <w:noProof/>
            <w:webHidden/>
          </w:rPr>
          <w:fldChar w:fldCharType="end"/>
        </w:r>
      </w:hyperlink>
    </w:p>
    <w:p w14:paraId="280A8AAC" w14:textId="57AF7EFF" w:rsidR="00FD2102" w:rsidRDefault="00FD2102">
      <w:pPr>
        <w:pStyle w:val="TOC3"/>
        <w:rPr>
          <w:rFonts w:asciiTheme="minorHAnsi" w:eastAsiaTheme="minorEastAsia" w:hAnsiTheme="minorHAnsi" w:cstheme="minorBidi"/>
          <w:bCs w:val="0"/>
          <w:noProof/>
          <w:kern w:val="2"/>
          <w:lang w:val="en-CA" w:eastAsia="en-CA"/>
          <w14:ligatures w14:val="standardContextual"/>
        </w:rPr>
      </w:pPr>
      <w:hyperlink w:anchor="_Toc136865078" w:history="1">
        <w:r w:rsidRPr="004E2E55">
          <w:rPr>
            <w:rStyle w:val="Hyperlink"/>
            <w:noProof/>
          </w:rPr>
          <w:t>The impact on national GDP</w:t>
        </w:r>
        <w:r>
          <w:rPr>
            <w:noProof/>
            <w:webHidden/>
          </w:rPr>
          <w:tab/>
        </w:r>
        <w:r>
          <w:rPr>
            <w:noProof/>
            <w:webHidden/>
          </w:rPr>
          <w:fldChar w:fldCharType="begin"/>
        </w:r>
        <w:r>
          <w:rPr>
            <w:noProof/>
            <w:webHidden/>
          </w:rPr>
          <w:instrText xml:space="preserve"> PAGEREF _Toc136865078 \h </w:instrText>
        </w:r>
        <w:r>
          <w:rPr>
            <w:noProof/>
            <w:webHidden/>
          </w:rPr>
        </w:r>
        <w:r>
          <w:rPr>
            <w:noProof/>
            <w:webHidden/>
          </w:rPr>
          <w:fldChar w:fldCharType="separate"/>
        </w:r>
        <w:r w:rsidR="00220F3D">
          <w:rPr>
            <w:noProof/>
            <w:webHidden/>
          </w:rPr>
          <w:t>13</w:t>
        </w:r>
        <w:r>
          <w:rPr>
            <w:noProof/>
            <w:webHidden/>
          </w:rPr>
          <w:fldChar w:fldCharType="end"/>
        </w:r>
      </w:hyperlink>
    </w:p>
    <w:p w14:paraId="3776A7BA" w14:textId="7CDE8C59" w:rsidR="00FD2102" w:rsidRDefault="00FD2102">
      <w:pPr>
        <w:pStyle w:val="TOC3"/>
        <w:rPr>
          <w:rFonts w:asciiTheme="minorHAnsi" w:eastAsiaTheme="minorEastAsia" w:hAnsiTheme="minorHAnsi" w:cstheme="minorBidi"/>
          <w:bCs w:val="0"/>
          <w:noProof/>
          <w:kern w:val="2"/>
          <w:lang w:val="en-CA" w:eastAsia="en-CA"/>
          <w14:ligatures w14:val="standardContextual"/>
        </w:rPr>
      </w:pPr>
      <w:hyperlink w:anchor="_Toc136865079" w:history="1">
        <w:r w:rsidRPr="004E2E55">
          <w:rPr>
            <w:rStyle w:val="Hyperlink"/>
            <w:noProof/>
          </w:rPr>
          <w:t>The impact on employment</w:t>
        </w:r>
        <w:r>
          <w:rPr>
            <w:noProof/>
            <w:webHidden/>
          </w:rPr>
          <w:tab/>
        </w:r>
        <w:r>
          <w:rPr>
            <w:noProof/>
            <w:webHidden/>
          </w:rPr>
          <w:fldChar w:fldCharType="begin"/>
        </w:r>
        <w:r>
          <w:rPr>
            <w:noProof/>
            <w:webHidden/>
          </w:rPr>
          <w:instrText xml:space="preserve"> PAGEREF _Toc136865079 \h </w:instrText>
        </w:r>
        <w:r>
          <w:rPr>
            <w:noProof/>
            <w:webHidden/>
          </w:rPr>
        </w:r>
        <w:r>
          <w:rPr>
            <w:noProof/>
            <w:webHidden/>
          </w:rPr>
          <w:fldChar w:fldCharType="separate"/>
        </w:r>
        <w:r w:rsidR="00220F3D">
          <w:rPr>
            <w:noProof/>
            <w:webHidden/>
          </w:rPr>
          <w:t>15</w:t>
        </w:r>
        <w:r>
          <w:rPr>
            <w:noProof/>
            <w:webHidden/>
          </w:rPr>
          <w:fldChar w:fldCharType="end"/>
        </w:r>
      </w:hyperlink>
    </w:p>
    <w:p w14:paraId="5E0D49BC" w14:textId="2A66053D" w:rsidR="00FD2102" w:rsidRDefault="00FD2102">
      <w:pPr>
        <w:pStyle w:val="TOC3"/>
        <w:rPr>
          <w:rFonts w:asciiTheme="minorHAnsi" w:eastAsiaTheme="minorEastAsia" w:hAnsiTheme="minorHAnsi" w:cstheme="minorBidi"/>
          <w:bCs w:val="0"/>
          <w:noProof/>
          <w:kern w:val="2"/>
          <w:lang w:val="en-CA" w:eastAsia="en-CA"/>
          <w14:ligatures w14:val="standardContextual"/>
        </w:rPr>
      </w:pPr>
      <w:hyperlink w:anchor="_Toc136865080" w:history="1">
        <w:r w:rsidRPr="004E2E55">
          <w:rPr>
            <w:rStyle w:val="Hyperlink"/>
            <w:noProof/>
          </w:rPr>
          <w:t>The impact on labour income</w:t>
        </w:r>
        <w:r>
          <w:rPr>
            <w:noProof/>
            <w:webHidden/>
          </w:rPr>
          <w:tab/>
        </w:r>
        <w:r>
          <w:rPr>
            <w:noProof/>
            <w:webHidden/>
          </w:rPr>
          <w:fldChar w:fldCharType="begin"/>
        </w:r>
        <w:r>
          <w:rPr>
            <w:noProof/>
            <w:webHidden/>
          </w:rPr>
          <w:instrText xml:space="preserve"> PAGEREF _Toc136865080 \h </w:instrText>
        </w:r>
        <w:r>
          <w:rPr>
            <w:noProof/>
            <w:webHidden/>
          </w:rPr>
        </w:r>
        <w:r>
          <w:rPr>
            <w:noProof/>
            <w:webHidden/>
          </w:rPr>
          <w:fldChar w:fldCharType="separate"/>
        </w:r>
        <w:r w:rsidR="00220F3D">
          <w:rPr>
            <w:noProof/>
            <w:webHidden/>
          </w:rPr>
          <w:t>15</w:t>
        </w:r>
        <w:r>
          <w:rPr>
            <w:noProof/>
            <w:webHidden/>
          </w:rPr>
          <w:fldChar w:fldCharType="end"/>
        </w:r>
      </w:hyperlink>
    </w:p>
    <w:p w14:paraId="3ED28FDB" w14:textId="078FA978" w:rsidR="00FD2102" w:rsidRDefault="00FD2102">
      <w:pPr>
        <w:pStyle w:val="TOC1"/>
        <w:rPr>
          <w:rFonts w:asciiTheme="minorHAnsi" w:eastAsiaTheme="minorEastAsia" w:hAnsiTheme="minorHAnsi" w:cstheme="minorBidi"/>
          <w:bCs w:val="0"/>
          <w:noProof/>
          <w:kern w:val="2"/>
          <w:lang w:val="en-CA" w:eastAsia="en-CA"/>
          <w14:ligatures w14:val="standardContextual"/>
        </w:rPr>
      </w:pPr>
      <w:hyperlink w:anchor="_Toc136865081" w:history="1">
        <w:r w:rsidRPr="004E2E55">
          <w:rPr>
            <w:rStyle w:val="Hyperlink"/>
            <w:noProof/>
          </w:rPr>
          <w:t>Chapter 2</w:t>
        </w:r>
        <w:r>
          <w:rPr>
            <w:noProof/>
            <w:webHidden/>
          </w:rPr>
          <w:tab/>
        </w:r>
        <w:r>
          <w:rPr>
            <w:noProof/>
            <w:webHidden/>
          </w:rPr>
          <w:fldChar w:fldCharType="begin"/>
        </w:r>
        <w:r>
          <w:rPr>
            <w:noProof/>
            <w:webHidden/>
          </w:rPr>
          <w:instrText xml:space="preserve"> PAGEREF _Toc136865081 \h </w:instrText>
        </w:r>
        <w:r>
          <w:rPr>
            <w:noProof/>
            <w:webHidden/>
          </w:rPr>
        </w:r>
        <w:r>
          <w:rPr>
            <w:noProof/>
            <w:webHidden/>
          </w:rPr>
          <w:fldChar w:fldCharType="separate"/>
        </w:r>
        <w:r w:rsidR="00220F3D">
          <w:rPr>
            <w:noProof/>
            <w:webHidden/>
          </w:rPr>
          <w:t>17</w:t>
        </w:r>
        <w:r>
          <w:rPr>
            <w:noProof/>
            <w:webHidden/>
          </w:rPr>
          <w:fldChar w:fldCharType="end"/>
        </w:r>
      </w:hyperlink>
    </w:p>
    <w:p w14:paraId="2EE5A73E" w14:textId="1981FAFE" w:rsidR="00FD2102" w:rsidRDefault="00FD2102">
      <w:pPr>
        <w:pStyle w:val="TOC2"/>
        <w:rPr>
          <w:rFonts w:asciiTheme="minorHAnsi" w:eastAsiaTheme="minorEastAsia" w:hAnsiTheme="minorHAnsi" w:cstheme="minorBidi"/>
          <w:bCs w:val="0"/>
          <w:noProof/>
          <w:kern w:val="2"/>
          <w:lang w:val="en-CA" w:eastAsia="en-CA"/>
          <w14:ligatures w14:val="standardContextual"/>
        </w:rPr>
      </w:pPr>
      <w:hyperlink w:anchor="_Toc136865082" w:history="1">
        <w:r w:rsidRPr="004E2E55">
          <w:rPr>
            <w:rStyle w:val="Hyperlink"/>
            <w:noProof/>
          </w:rPr>
          <w:t>Indexing the Wellbeing of IFI Client Communities</w:t>
        </w:r>
        <w:r>
          <w:rPr>
            <w:noProof/>
            <w:webHidden/>
          </w:rPr>
          <w:tab/>
        </w:r>
        <w:r>
          <w:rPr>
            <w:noProof/>
            <w:webHidden/>
          </w:rPr>
          <w:fldChar w:fldCharType="begin"/>
        </w:r>
        <w:r>
          <w:rPr>
            <w:noProof/>
            <w:webHidden/>
          </w:rPr>
          <w:instrText xml:space="preserve"> PAGEREF _Toc136865082 \h </w:instrText>
        </w:r>
        <w:r>
          <w:rPr>
            <w:noProof/>
            <w:webHidden/>
          </w:rPr>
        </w:r>
        <w:r>
          <w:rPr>
            <w:noProof/>
            <w:webHidden/>
          </w:rPr>
          <w:fldChar w:fldCharType="separate"/>
        </w:r>
        <w:r w:rsidR="00220F3D">
          <w:rPr>
            <w:noProof/>
            <w:webHidden/>
          </w:rPr>
          <w:t>17</w:t>
        </w:r>
        <w:r>
          <w:rPr>
            <w:noProof/>
            <w:webHidden/>
          </w:rPr>
          <w:fldChar w:fldCharType="end"/>
        </w:r>
      </w:hyperlink>
    </w:p>
    <w:p w14:paraId="3B4DB177" w14:textId="0CC1F398" w:rsidR="00FD2102" w:rsidRDefault="00FD2102">
      <w:pPr>
        <w:pStyle w:val="TOC3"/>
        <w:rPr>
          <w:rFonts w:asciiTheme="minorHAnsi" w:eastAsiaTheme="minorEastAsia" w:hAnsiTheme="minorHAnsi" w:cstheme="minorBidi"/>
          <w:bCs w:val="0"/>
          <w:noProof/>
          <w:kern w:val="2"/>
          <w:lang w:val="en-CA" w:eastAsia="en-CA"/>
          <w14:ligatures w14:val="standardContextual"/>
        </w:rPr>
      </w:pPr>
      <w:hyperlink w:anchor="_Toc136865083" w:history="1">
        <w:r w:rsidRPr="004E2E55">
          <w:rPr>
            <w:rStyle w:val="Hyperlink"/>
            <w:noProof/>
          </w:rPr>
          <w:t>Education</w:t>
        </w:r>
        <w:r>
          <w:rPr>
            <w:noProof/>
            <w:webHidden/>
          </w:rPr>
          <w:tab/>
        </w:r>
        <w:r>
          <w:rPr>
            <w:noProof/>
            <w:webHidden/>
          </w:rPr>
          <w:fldChar w:fldCharType="begin"/>
        </w:r>
        <w:r>
          <w:rPr>
            <w:noProof/>
            <w:webHidden/>
          </w:rPr>
          <w:instrText xml:space="preserve"> PAGEREF _Toc136865083 \h </w:instrText>
        </w:r>
        <w:r>
          <w:rPr>
            <w:noProof/>
            <w:webHidden/>
          </w:rPr>
        </w:r>
        <w:r>
          <w:rPr>
            <w:noProof/>
            <w:webHidden/>
          </w:rPr>
          <w:fldChar w:fldCharType="separate"/>
        </w:r>
        <w:r w:rsidR="00220F3D">
          <w:rPr>
            <w:noProof/>
            <w:webHidden/>
          </w:rPr>
          <w:t>18</w:t>
        </w:r>
        <w:r>
          <w:rPr>
            <w:noProof/>
            <w:webHidden/>
          </w:rPr>
          <w:fldChar w:fldCharType="end"/>
        </w:r>
      </w:hyperlink>
    </w:p>
    <w:p w14:paraId="2E9E080F" w14:textId="4052232E" w:rsidR="00FD2102" w:rsidRDefault="00FD2102">
      <w:pPr>
        <w:pStyle w:val="TOC3"/>
        <w:rPr>
          <w:rFonts w:asciiTheme="minorHAnsi" w:eastAsiaTheme="minorEastAsia" w:hAnsiTheme="minorHAnsi" w:cstheme="minorBidi"/>
          <w:bCs w:val="0"/>
          <w:noProof/>
          <w:kern w:val="2"/>
          <w:lang w:val="en-CA" w:eastAsia="en-CA"/>
          <w14:ligatures w14:val="standardContextual"/>
        </w:rPr>
      </w:pPr>
      <w:hyperlink w:anchor="_Toc136865084" w:history="1">
        <w:r w:rsidRPr="004E2E55">
          <w:rPr>
            <w:rStyle w:val="Hyperlink"/>
            <w:noProof/>
          </w:rPr>
          <w:t>Labour</w:t>
        </w:r>
        <w:r>
          <w:rPr>
            <w:noProof/>
            <w:webHidden/>
          </w:rPr>
          <w:tab/>
        </w:r>
        <w:r>
          <w:rPr>
            <w:noProof/>
            <w:webHidden/>
          </w:rPr>
          <w:fldChar w:fldCharType="begin"/>
        </w:r>
        <w:r>
          <w:rPr>
            <w:noProof/>
            <w:webHidden/>
          </w:rPr>
          <w:instrText xml:space="preserve"> PAGEREF _Toc136865084 \h </w:instrText>
        </w:r>
        <w:r>
          <w:rPr>
            <w:noProof/>
            <w:webHidden/>
          </w:rPr>
        </w:r>
        <w:r>
          <w:rPr>
            <w:noProof/>
            <w:webHidden/>
          </w:rPr>
          <w:fldChar w:fldCharType="separate"/>
        </w:r>
        <w:r w:rsidR="00220F3D">
          <w:rPr>
            <w:noProof/>
            <w:webHidden/>
          </w:rPr>
          <w:t>18</w:t>
        </w:r>
        <w:r>
          <w:rPr>
            <w:noProof/>
            <w:webHidden/>
          </w:rPr>
          <w:fldChar w:fldCharType="end"/>
        </w:r>
      </w:hyperlink>
    </w:p>
    <w:p w14:paraId="7FA7FB84" w14:textId="219B5B00" w:rsidR="00FD2102" w:rsidRDefault="00FD2102">
      <w:pPr>
        <w:pStyle w:val="TOC3"/>
        <w:rPr>
          <w:rFonts w:asciiTheme="minorHAnsi" w:eastAsiaTheme="minorEastAsia" w:hAnsiTheme="minorHAnsi" w:cstheme="minorBidi"/>
          <w:bCs w:val="0"/>
          <w:noProof/>
          <w:kern w:val="2"/>
          <w:lang w:val="en-CA" w:eastAsia="en-CA"/>
          <w14:ligatures w14:val="standardContextual"/>
        </w:rPr>
      </w:pPr>
      <w:hyperlink w:anchor="_Toc136865085" w:history="1">
        <w:r w:rsidRPr="004E2E55">
          <w:rPr>
            <w:rStyle w:val="Hyperlink"/>
            <w:noProof/>
          </w:rPr>
          <w:t>Income</w:t>
        </w:r>
        <w:r>
          <w:rPr>
            <w:noProof/>
            <w:webHidden/>
          </w:rPr>
          <w:tab/>
        </w:r>
        <w:r>
          <w:rPr>
            <w:noProof/>
            <w:webHidden/>
          </w:rPr>
          <w:fldChar w:fldCharType="begin"/>
        </w:r>
        <w:r>
          <w:rPr>
            <w:noProof/>
            <w:webHidden/>
          </w:rPr>
          <w:instrText xml:space="preserve"> PAGEREF _Toc136865085 \h </w:instrText>
        </w:r>
        <w:r>
          <w:rPr>
            <w:noProof/>
            <w:webHidden/>
          </w:rPr>
        </w:r>
        <w:r>
          <w:rPr>
            <w:noProof/>
            <w:webHidden/>
          </w:rPr>
          <w:fldChar w:fldCharType="separate"/>
        </w:r>
        <w:r w:rsidR="00220F3D">
          <w:rPr>
            <w:noProof/>
            <w:webHidden/>
          </w:rPr>
          <w:t>19</w:t>
        </w:r>
        <w:r>
          <w:rPr>
            <w:noProof/>
            <w:webHidden/>
          </w:rPr>
          <w:fldChar w:fldCharType="end"/>
        </w:r>
      </w:hyperlink>
    </w:p>
    <w:p w14:paraId="6A68EF83" w14:textId="4E90F04C" w:rsidR="00FD2102" w:rsidRDefault="00FD2102">
      <w:pPr>
        <w:pStyle w:val="TOC3"/>
        <w:rPr>
          <w:rFonts w:asciiTheme="minorHAnsi" w:eastAsiaTheme="minorEastAsia" w:hAnsiTheme="minorHAnsi" w:cstheme="minorBidi"/>
          <w:bCs w:val="0"/>
          <w:noProof/>
          <w:kern w:val="2"/>
          <w:lang w:val="en-CA" w:eastAsia="en-CA"/>
          <w14:ligatures w14:val="standardContextual"/>
        </w:rPr>
      </w:pPr>
      <w:hyperlink w:anchor="_Toc136865086" w:history="1">
        <w:r w:rsidRPr="004E2E55">
          <w:rPr>
            <w:rStyle w:val="Hyperlink"/>
            <w:noProof/>
          </w:rPr>
          <w:t>Housing</w:t>
        </w:r>
        <w:r>
          <w:rPr>
            <w:noProof/>
            <w:webHidden/>
          </w:rPr>
          <w:tab/>
        </w:r>
        <w:r>
          <w:rPr>
            <w:noProof/>
            <w:webHidden/>
          </w:rPr>
          <w:fldChar w:fldCharType="begin"/>
        </w:r>
        <w:r>
          <w:rPr>
            <w:noProof/>
            <w:webHidden/>
          </w:rPr>
          <w:instrText xml:space="preserve"> PAGEREF _Toc136865086 \h </w:instrText>
        </w:r>
        <w:r>
          <w:rPr>
            <w:noProof/>
            <w:webHidden/>
          </w:rPr>
        </w:r>
        <w:r>
          <w:rPr>
            <w:noProof/>
            <w:webHidden/>
          </w:rPr>
          <w:fldChar w:fldCharType="separate"/>
        </w:r>
        <w:r w:rsidR="00220F3D">
          <w:rPr>
            <w:noProof/>
            <w:webHidden/>
          </w:rPr>
          <w:t>19</w:t>
        </w:r>
        <w:r>
          <w:rPr>
            <w:noProof/>
            <w:webHidden/>
          </w:rPr>
          <w:fldChar w:fldCharType="end"/>
        </w:r>
      </w:hyperlink>
    </w:p>
    <w:p w14:paraId="56B95878" w14:textId="4EEACFF2" w:rsidR="00FD2102" w:rsidRDefault="00FD2102">
      <w:pPr>
        <w:pStyle w:val="TOC3"/>
        <w:rPr>
          <w:rFonts w:asciiTheme="minorHAnsi" w:eastAsiaTheme="minorEastAsia" w:hAnsiTheme="minorHAnsi" w:cstheme="minorBidi"/>
          <w:bCs w:val="0"/>
          <w:noProof/>
          <w:kern w:val="2"/>
          <w:lang w:val="en-CA" w:eastAsia="en-CA"/>
          <w14:ligatures w14:val="standardContextual"/>
        </w:rPr>
      </w:pPr>
      <w:hyperlink w:anchor="_Toc136865087" w:history="1">
        <w:r w:rsidRPr="004E2E55">
          <w:rPr>
            <w:rStyle w:val="Hyperlink"/>
            <w:noProof/>
          </w:rPr>
          <w:t>Remoteness Index</w:t>
        </w:r>
        <w:r>
          <w:rPr>
            <w:noProof/>
            <w:webHidden/>
          </w:rPr>
          <w:tab/>
        </w:r>
        <w:r>
          <w:rPr>
            <w:noProof/>
            <w:webHidden/>
          </w:rPr>
          <w:fldChar w:fldCharType="begin"/>
        </w:r>
        <w:r>
          <w:rPr>
            <w:noProof/>
            <w:webHidden/>
          </w:rPr>
          <w:instrText xml:space="preserve"> PAGEREF _Toc136865087 \h </w:instrText>
        </w:r>
        <w:r>
          <w:rPr>
            <w:noProof/>
            <w:webHidden/>
          </w:rPr>
        </w:r>
        <w:r>
          <w:rPr>
            <w:noProof/>
            <w:webHidden/>
          </w:rPr>
          <w:fldChar w:fldCharType="separate"/>
        </w:r>
        <w:r w:rsidR="00220F3D">
          <w:rPr>
            <w:noProof/>
            <w:webHidden/>
          </w:rPr>
          <w:t>19</w:t>
        </w:r>
        <w:r>
          <w:rPr>
            <w:noProof/>
            <w:webHidden/>
          </w:rPr>
          <w:fldChar w:fldCharType="end"/>
        </w:r>
      </w:hyperlink>
    </w:p>
    <w:p w14:paraId="1F83D24E" w14:textId="0A33BA22" w:rsidR="00FD2102" w:rsidRDefault="00FD2102">
      <w:pPr>
        <w:pStyle w:val="TOC3"/>
        <w:rPr>
          <w:rFonts w:asciiTheme="minorHAnsi" w:eastAsiaTheme="minorEastAsia" w:hAnsiTheme="minorHAnsi" w:cstheme="minorBidi"/>
          <w:bCs w:val="0"/>
          <w:noProof/>
          <w:kern w:val="2"/>
          <w:lang w:val="en-CA" w:eastAsia="en-CA"/>
          <w14:ligatures w14:val="standardContextual"/>
        </w:rPr>
      </w:pPr>
      <w:hyperlink w:anchor="_Toc136865088" w:history="1">
        <w:r w:rsidRPr="004E2E55">
          <w:rPr>
            <w:rStyle w:val="Hyperlink"/>
            <w:noProof/>
          </w:rPr>
          <w:t>Locating IFI client communities along the CWB</w:t>
        </w:r>
        <w:r>
          <w:rPr>
            <w:noProof/>
            <w:webHidden/>
          </w:rPr>
          <w:tab/>
        </w:r>
        <w:r>
          <w:rPr>
            <w:noProof/>
            <w:webHidden/>
          </w:rPr>
          <w:fldChar w:fldCharType="begin"/>
        </w:r>
        <w:r>
          <w:rPr>
            <w:noProof/>
            <w:webHidden/>
          </w:rPr>
          <w:instrText xml:space="preserve"> PAGEREF _Toc136865088 \h </w:instrText>
        </w:r>
        <w:r>
          <w:rPr>
            <w:noProof/>
            <w:webHidden/>
          </w:rPr>
        </w:r>
        <w:r>
          <w:rPr>
            <w:noProof/>
            <w:webHidden/>
          </w:rPr>
          <w:fldChar w:fldCharType="separate"/>
        </w:r>
        <w:r w:rsidR="00220F3D">
          <w:rPr>
            <w:noProof/>
            <w:webHidden/>
          </w:rPr>
          <w:t>20</w:t>
        </w:r>
        <w:r>
          <w:rPr>
            <w:noProof/>
            <w:webHidden/>
          </w:rPr>
          <w:fldChar w:fldCharType="end"/>
        </w:r>
      </w:hyperlink>
    </w:p>
    <w:p w14:paraId="1F27C498" w14:textId="0BC03632" w:rsidR="00FD2102" w:rsidRDefault="00FD2102">
      <w:pPr>
        <w:pStyle w:val="TOC3"/>
        <w:rPr>
          <w:rFonts w:asciiTheme="minorHAnsi" w:eastAsiaTheme="minorEastAsia" w:hAnsiTheme="minorHAnsi" w:cstheme="minorBidi"/>
          <w:bCs w:val="0"/>
          <w:noProof/>
          <w:kern w:val="2"/>
          <w:lang w:val="en-CA" w:eastAsia="en-CA"/>
          <w14:ligatures w14:val="standardContextual"/>
        </w:rPr>
      </w:pPr>
      <w:hyperlink w:anchor="_Toc136865089" w:history="1">
        <w:r w:rsidRPr="004E2E55">
          <w:rPr>
            <w:rStyle w:val="Hyperlink"/>
            <w:noProof/>
          </w:rPr>
          <w:t>How CWB scores have changed over time</w:t>
        </w:r>
        <w:r>
          <w:rPr>
            <w:noProof/>
            <w:webHidden/>
          </w:rPr>
          <w:tab/>
        </w:r>
        <w:r>
          <w:rPr>
            <w:noProof/>
            <w:webHidden/>
          </w:rPr>
          <w:fldChar w:fldCharType="begin"/>
        </w:r>
        <w:r>
          <w:rPr>
            <w:noProof/>
            <w:webHidden/>
          </w:rPr>
          <w:instrText xml:space="preserve"> PAGEREF _Toc136865089 \h </w:instrText>
        </w:r>
        <w:r>
          <w:rPr>
            <w:noProof/>
            <w:webHidden/>
          </w:rPr>
        </w:r>
        <w:r>
          <w:rPr>
            <w:noProof/>
            <w:webHidden/>
          </w:rPr>
          <w:fldChar w:fldCharType="separate"/>
        </w:r>
        <w:r w:rsidR="00220F3D">
          <w:rPr>
            <w:noProof/>
            <w:webHidden/>
          </w:rPr>
          <w:t>21</w:t>
        </w:r>
        <w:r>
          <w:rPr>
            <w:noProof/>
            <w:webHidden/>
          </w:rPr>
          <w:fldChar w:fldCharType="end"/>
        </w:r>
      </w:hyperlink>
    </w:p>
    <w:p w14:paraId="53ADAEEB" w14:textId="5AB22D75" w:rsidR="00FD2102" w:rsidRDefault="00FD2102">
      <w:pPr>
        <w:pStyle w:val="TOC1"/>
        <w:rPr>
          <w:rFonts w:asciiTheme="minorHAnsi" w:eastAsiaTheme="minorEastAsia" w:hAnsiTheme="minorHAnsi" w:cstheme="minorBidi"/>
          <w:bCs w:val="0"/>
          <w:noProof/>
          <w:kern w:val="2"/>
          <w:lang w:val="en-CA" w:eastAsia="en-CA"/>
          <w14:ligatures w14:val="standardContextual"/>
        </w:rPr>
      </w:pPr>
      <w:hyperlink w:anchor="_Toc136865090" w:history="1">
        <w:r w:rsidRPr="004E2E55">
          <w:rPr>
            <w:rStyle w:val="Hyperlink"/>
            <w:noProof/>
          </w:rPr>
          <w:t>Chapter 3</w:t>
        </w:r>
        <w:r>
          <w:rPr>
            <w:noProof/>
            <w:webHidden/>
          </w:rPr>
          <w:tab/>
        </w:r>
        <w:r>
          <w:rPr>
            <w:noProof/>
            <w:webHidden/>
          </w:rPr>
          <w:fldChar w:fldCharType="begin"/>
        </w:r>
        <w:r>
          <w:rPr>
            <w:noProof/>
            <w:webHidden/>
          </w:rPr>
          <w:instrText xml:space="preserve"> PAGEREF _Toc136865090 \h </w:instrText>
        </w:r>
        <w:r>
          <w:rPr>
            <w:noProof/>
            <w:webHidden/>
          </w:rPr>
        </w:r>
        <w:r>
          <w:rPr>
            <w:noProof/>
            <w:webHidden/>
          </w:rPr>
          <w:fldChar w:fldCharType="separate"/>
        </w:r>
        <w:r w:rsidR="00220F3D">
          <w:rPr>
            <w:noProof/>
            <w:webHidden/>
          </w:rPr>
          <w:t>24</w:t>
        </w:r>
        <w:r>
          <w:rPr>
            <w:noProof/>
            <w:webHidden/>
          </w:rPr>
          <w:fldChar w:fldCharType="end"/>
        </w:r>
      </w:hyperlink>
    </w:p>
    <w:p w14:paraId="491C53F3" w14:textId="4F49088D" w:rsidR="00FD2102" w:rsidRDefault="00FD2102">
      <w:pPr>
        <w:pStyle w:val="TOC2"/>
        <w:rPr>
          <w:rFonts w:asciiTheme="minorHAnsi" w:eastAsiaTheme="minorEastAsia" w:hAnsiTheme="minorHAnsi" w:cstheme="minorBidi"/>
          <w:bCs w:val="0"/>
          <w:noProof/>
          <w:kern w:val="2"/>
          <w:lang w:val="en-CA" w:eastAsia="en-CA"/>
          <w14:ligatures w14:val="standardContextual"/>
        </w:rPr>
      </w:pPr>
      <w:hyperlink w:anchor="_Toc136865091" w:history="1">
        <w:r w:rsidRPr="004E2E55">
          <w:rPr>
            <w:rStyle w:val="Hyperlink"/>
            <w:noProof/>
          </w:rPr>
          <w:t>Exploring the Social Impacts of IFI-Driven Finance</w:t>
        </w:r>
        <w:r>
          <w:rPr>
            <w:noProof/>
            <w:webHidden/>
          </w:rPr>
          <w:tab/>
        </w:r>
        <w:r>
          <w:rPr>
            <w:noProof/>
            <w:webHidden/>
          </w:rPr>
          <w:fldChar w:fldCharType="begin"/>
        </w:r>
        <w:r>
          <w:rPr>
            <w:noProof/>
            <w:webHidden/>
          </w:rPr>
          <w:instrText xml:space="preserve"> PAGEREF _Toc136865091 \h </w:instrText>
        </w:r>
        <w:r>
          <w:rPr>
            <w:noProof/>
            <w:webHidden/>
          </w:rPr>
        </w:r>
        <w:r>
          <w:rPr>
            <w:noProof/>
            <w:webHidden/>
          </w:rPr>
          <w:fldChar w:fldCharType="separate"/>
        </w:r>
        <w:r w:rsidR="00220F3D">
          <w:rPr>
            <w:noProof/>
            <w:webHidden/>
          </w:rPr>
          <w:t>24</w:t>
        </w:r>
        <w:r>
          <w:rPr>
            <w:noProof/>
            <w:webHidden/>
          </w:rPr>
          <w:fldChar w:fldCharType="end"/>
        </w:r>
      </w:hyperlink>
    </w:p>
    <w:p w14:paraId="5ECD5E4D" w14:textId="231CCEA5" w:rsidR="00FD2102" w:rsidRDefault="00FD2102">
      <w:pPr>
        <w:pStyle w:val="TOC3"/>
        <w:rPr>
          <w:rFonts w:asciiTheme="minorHAnsi" w:eastAsiaTheme="minorEastAsia" w:hAnsiTheme="minorHAnsi" w:cstheme="minorBidi"/>
          <w:bCs w:val="0"/>
          <w:noProof/>
          <w:kern w:val="2"/>
          <w:lang w:val="en-CA" w:eastAsia="en-CA"/>
          <w14:ligatures w14:val="standardContextual"/>
        </w:rPr>
      </w:pPr>
      <w:hyperlink w:anchor="_Toc136865092" w:history="1">
        <w:r w:rsidRPr="004E2E55">
          <w:rPr>
            <w:rStyle w:val="Hyperlink"/>
            <w:noProof/>
          </w:rPr>
          <w:t>IFIs’ potential to raise Indigenous employment incomes</w:t>
        </w:r>
        <w:r>
          <w:rPr>
            <w:noProof/>
            <w:webHidden/>
          </w:rPr>
          <w:tab/>
        </w:r>
        <w:r>
          <w:rPr>
            <w:noProof/>
            <w:webHidden/>
          </w:rPr>
          <w:fldChar w:fldCharType="begin"/>
        </w:r>
        <w:r>
          <w:rPr>
            <w:noProof/>
            <w:webHidden/>
          </w:rPr>
          <w:instrText xml:space="preserve"> PAGEREF _Toc136865092 \h </w:instrText>
        </w:r>
        <w:r>
          <w:rPr>
            <w:noProof/>
            <w:webHidden/>
          </w:rPr>
        </w:r>
        <w:r>
          <w:rPr>
            <w:noProof/>
            <w:webHidden/>
          </w:rPr>
          <w:fldChar w:fldCharType="separate"/>
        </w:r>
        <w:r w:rsidR="00220F3D">
          <w:rPr>
            <w:noProof/>
            <w:webHidden/>
          </w:rPr>
          <w:t>25</w:t>
        </w:r>
        <w:r>
          <w:rPr>
            <w:noProof/>
            <w:webHidden/>
          </w:rPr>
          <w:fldChar w:fldCharType="end"/>
        </w:r>
      </w:hyperlink>
    </w:p>
    <w:p w14:paraId="07A7A5B0" w14:textId="0D6653BF" w:rsidR="00FD2102" w:rsidRDefault="00FD2102">
      <w:pPr>
        <w:pStyle w:val="TOC4"/>
        <w:rPr>
          <w:rFonts w:asciiTheme="minorHAnsi" w:eastAsiaTheme="minorEastAsia" w:hAnsiTheme="minorHAnsi" w:cstheme="minorBidi"/>
          <w:bCs w:val="0"/>
          <w:noProof/>
          <w:kern w:val="2"/>
          <w:lang w:val="en-CA" w:eastAsia="en-CA"/>
          <w14:ligatures w14:val="standardContextual"/>
        </w:rPr>
      </w:pPr>
      <w:hyperlink w:anchor="_Toc136865093" w:history="1">
        <w:r w:rsidRPr="004E2E55">
          <w:rPr>
            <w:rStyle w:val="Hyperlink"/>
            <w:noProof/>
          </w:rPr>
          <w:t>Atlin Xeitl Hydro</w:t>
        </w:r>
        <w:r>
          <w:rPr>
            <w:noProof/>
            <w:webHidden/>
          </w:rPr>
          <w:tab/>
        </w:r>
        <w:r>
          <w:rPr>
            <w:noProof/>
            <w:webHidden/>
          </w:rPr>
          <w:fldChar w:fldCharType="begin"/>
        </w:r>
        <w:r>
          <w:rPr>
            <w:noProof/>
            <w:webHidden/>
          </w:rPr>
          <w:instrText xml:space="preserve"> PAGEREF _Toc136865093 \h </w:instrText>
        </w:r>
        <w:r>
          <w:rPr>
            <w:noProof/>
            <w:webHidden/>
          </w:rPr>
        </w:r>
        <w:r>
          <w:rPr>
            <w:noProof/>
            <w:webHidden/>
          </w:rPr>
          <w:fldChar w:fldCharType="separate"/>
        </w:r>
        <w:r w:rsidR="00220F3D">
          <w:rPr>
            <w:noProof/>
            <w:webHidden/>
          </w:rPr>
          <w:t>28</w:t>
        </w:r>
        <w:r>
          <w:rPr>
            <w:noProof/>
            <w:webHidden/>
          </w:rPr>
          <w:fldChar w:fldCharType="end"/>
        </w:r>
      </w:hyperlink>
    </w:p>
    <w:p w14:paraId="458C1220" w14:textId="17E9D13F" w:rsidR="00FD2102" w:rsidRDefault="00FD2102">
      <w:pPr>
        <w:pStyle w:val="TOC3"/>
        <w:rPr>
          <w:rFonts w:asciiTheme="minorHAnsi" w:eastAsiaTheme="minorEastAsia" w:hAnsiTheme="minorHAnsi" w:cstheme="minorBidi"/>
          <w:bCs w:val="0"/>
          <w:noProof/>
          <w:kern w:val="2"/>
          <w:lang w:val="en-CA" w:eastAsia="en-CA"/>
          <w14:ligatures w14:val="standardContextual"/>
        </w:rPr>
      </w:pPr>
      <w:hyperlink w:anchor="_Toc136865094" w:history="1">
        <w:r w:rsidRPr="004E2E55">
          <w:rPr>
            <w:rStyle w:val="Hyperlink"/>
            <w:noProof/>
          </w:rPr>
          <w:t>Modeling possible linkages between employment income and other social determinants of health and wellbeing</w:t>
        </w:r>
        <w:r>
          <w:rPr>
            <w:noProof/>
            <w:webHidden/>
          </w:rPr>
          <w:tab/>
        </w:r>
        <w:r>
          <w:rPr>
            <w:noProof/>
            <w:webHidden/>
          </w:rPr>
          <w:fldChar w:fldCharType="begin"/>
        </w:r>
        <w:r>
          <w:rPr>
            <w:noProof/>
            <w:webHidden/>
          </w:rPr>
          <w:instrText xml:space="preserve"> PAGEREF _Toc136865094 \h </w:instrText>
        </w:r>
        <w:r>
          <w:rPr>
            <w:noProof/>
            <w:webHidden/>
          </w:rPr>
        </w:r>
        <w:r>
          <w:rPr>
            <w:noProof/>
            <w:webHidden/>
          </w:rPr>
          <w:fldChar w:fldCharType="separate"/>
        </w:r>
        <w:r w:rsidR="00220F3D">
          <w:rPr>
            <w:noProof/>
            <w:webHidden/>
          </w:rPr>
          <w:t>29</w:t>
        </w:r>
        <w:r>
          <w:rPr>
            <w:noProof/>
            <w:webHidden/>
          </w:rPr>
          <w:fldChar w:fldCharType="end"/>
        </w:r>
      </w:hyperlink>
    </w:p>
    <w:p w14:paraId="29A03084" w14:textId="117C81A8" w:rsidR="00FD2102" w:rsidRDefault="00FD2102">
      <w:pPr>
        <w:pStyle w:val="TOC4"/>
        <w:rPr>
          <w:rFonts w:asciiTheme="minorHAnsi" w:eastAsiaTheme="minorEastAsia" w:hAnsiTheme="minorHAnsi" w:cstheme="minorBidi"/>
          <w:bCs w:val="0"/>
          <w:noProof/>
          <w:kern w:val="2"/>
          <w:lang w:val="en-CA" w:eastAsia="en-CA"/>
          <w14:ligatures w14:val="standardContextual"/>
        </w:rPr>
      </w:pPr>
      <w:hyperlink w:anchor="_Toc136865095" w:history="1">
        <w:r w:rsidRPr="004E2E55">
          <w:rPr>
            <w:rStyle w:val="Hyperlink"/>
            <w:noProof/>
          </w:rPr>
          <w:t>Employment income and food security</w:t>
        </w:r>
        <w:r>
          <w:rPr>
            <w:noProof/>
            <w:webHidden/>
          </w:rPr>
          <w:tab/>
        </w:r>
        <w:r>
          <w:rPr>
            <w:noProof/>
            <w:webHidden/>
          </w:rPr>
          <w:fldChar w:fldCharType="begin"/>
        </w:r>
        <w:r>
          <w:rPr>
            <w:noProof/>
            <w:webHidden/>
          </w:rPr>
          <w:instrText xml:space="preserve"> PAGEREF _Toc136865095 \h </w:instrText>
        </w:r>
        <w:r>
          <w:rPr>
            <w:noProof/>
            <w:webHidden/>
          </w:rPr>
        </w:r>
        <w:r>
          <w:rPr>
            <w:noProof/>
            <w:webHidden/>
          </w:rPr>
          <w:fldChar w:fldCharType="separate"/>
        </w:r>
        <w:r w:rsidR="00220F3D">
          <w:rPr>
            <w:noProof/>
            <w:webHidden/>
          </w:rPr>
          <w:t>30</w:t>
        </w:r>
        <w:r>
          <w:rPr>
            <w:noProof/>
            <w:webHidden/>
          </w:rPr>
          <w:fldChar w:fldCharType="end"/>
        </w:r>
      </w:hyperlink>
    </w:p>
    <w:p w14:paraId="0171F819" w14:textId="7E294C25" w:rsidR="00FD2102" w:rsidRDefault="00FD2102">
      <w:pPr>
        <w:pStyle w:val="TOC4"/>
        <w:rPr>
          <w:rFonts w:asciiTheme="minorHAnsi" w:eastAsiaTheme="minorEastAsia" w:hAnsiTheme="minorHAnsi" w:cstheme="minorBidi"/>
          <w:bCs w:val="0"/>
          <w:noProof/>
          <w:kern w:val="2"/>
          <w:lang w:val="en-CA" w:eastAsia="en-CA"/>
          <w14:ligatures w14:val="standardContextual"/>
        </w:rPr>
      </w:pPr>
      <w:hyperlink w:anchor="_Toc136865096" w:history="1">
        <w:r w:rsidRPr="004E2E55">
          <w:rPr>
            <w:rStyle w:val="Hyperlink"/>
            <w:noProof/>
          </w:rPr>
          <w:t>Employment Income and self-rated health and mental health status</w:t>
        </w:r>
        <w:r>
          <w:rPr>
            <w:noProof/>
            <w:webHidden/>
          </w:rPr>
          <w:tab/>
        </w:r>
        <w:r>
          <w:rPr>
            <w:noProof/>
            <w:webHidden/>
          </w:rPr>
          <w:fldChar w:fldCharType="begin"/>
        </w:r>
        <w:r>
          <w:rPr>
            <w:noProof/>
            <w:webHidden/>
          </w:rPr>
          <w:instrText xml:space="preserve"> PAGEREF _Toc136865096 \h </w:instrText>
        </w:r>
        <w:r>
          <w:rPr>
            <w:noProof/>
            <w:webHidden/>
          </w:rPr>
        </w:r>
        <w:r>
          <w:rPr>
            <w:noProof/>
            <w:webHidden/>
          </w:rPr>
          <w:fldChar w:fldCharType="separate"/>
        </w:r>
        <w:r w:rsidR="00220F3D">
          <w:rPr>
            <w:noProof/>
            <w:webHidden/>
          </w:rPr>
          <w:t>32</w:t>
        </w:r>
        <w:r>
          <w:rPr>
            <w:noProof/>
            <w:webHidden/>
          </w:rPr>
          <w:fldChar w:fldCharType="end"/>
        </w:r>
      </w:hyperlink>
    </w:p>
    <w:p w14:paraId="0C4776C8" w14:textId="6D9D1E42" w:rsidR="00FD2102" w:rsidRDefault="00FD2102">
      <w:pPr>
        <w:pStyle w:val="TOC4"/>
        <w:rPr>
          <w:rFonts w:asciiTheme="minorHAnsi" w:eastAsiaTheme="minorEastAsia" w:hAnsiTheme="minorHAnsi" w:cstheme="minorBidi"/>
          <w:bCs w:val="0"/>
          <w:noProof/>
          <w:kern w:val="2"/>
          <w:lang w:val="en-CA" w:eastAsia="en-CA"/>
          <w14:ligatures w14:val="standardContextual"/>
        </w:rPr>
      </w:pPr>
      <w:hyperlink w:anchor="_Toc136865097" w:history="1">
        <w:r w:rsidRPr="004E2E55">
          <w:rPr>
            <w:rStyle w:val="Hyperlink"/>
            <w:noProof/>
          </w:rPr>
          <w:t>Employment income, housing satisfaction and housing suitability</w:t>
        </w:r>
        <w:r>
          <w:rPr>
            <w:noProof/>
            <w:webHidden/>
          </w:rPr>
          <w:tab/>
        </w:r>
        <w:r>
          <w:rPr>
            <w:noProof/>
            <w:webHidden/>
          </w:rPr>
          <w:fldChar w:fldCharType="begin"/>
        </w:r>
        <w:r>
          <w:rPr>
            <w:noProof/>
            <w:webHidden/>
          </w:rPr>
          <w:instrText xml:space="preserve"> PAGEREF _Toc136865097 \h </w:instrText>
        </w:r>
        <w:r>
          <w:rPr>
            <w:noProof/>
            <w:webHidden/>
          </w:rPr>
        </w:r>
        <w:r>
          <w:rPr>
            <w:noProof/>
            <w:webHidden/>
          </w:rPr>
          <w:fldChar w:fldCharType="separate"/>
        </w:r>
        <w:r w:rsidR="00220F3D">
          <w:rPr>
            <w:noProof/>
            <w:webHidden/>
          </w:rPr>
          <w:t>34</w:t>
        </w:r>
        <w:r>
          <w:rPr>
            <w:noProof/>
            <w:webHidden/>
          </w:rPr>
          <w:fldChar w:fldCharType="end"/>
        </w:r>
      </w:hyperlink>
    </w:p>
    <w:p w14:paraId="2CA483C4" w14:textId="49FB75AB" w:rsidR="00FD2102" w:rsidRDefault="00FD2102">
      <w:pPr>
        <w:pStyle w:val="TOC3"/>
        <w:rPr>
          <w:rFonts w:asciiTheme="minorHAnsi" w:eastAsiaTheme="minorEastAsia" w:hAnsiTheme="minorHAnsi" w:cstheme="minorBidi"/>
          <w:bCs w:val="0"/>
          <w:noProof/>
          <w:kern w:val="2"/>
          <w:lang w:val="en-CA" w:eastAsia="en-CA"/>
          <w14:ligatures w14:val="standardContextual"/>
        </w:rPr>
      </w:pPr>
      <w:hyperlink w:anchor="_Toc136865098" w:history="1">
        <w:r w:rsidRPr="004E2E55">
          <w:rPr>
            <w:rStyle w:val="Hyperlink"/>
            <w:noProof/>
          </w:rPr>
          <w:t>Case illustrations of IFI-driven investments and community wellbeing</w:t>
        </w:r>
        <w:r>
          <w:rPr>
            <w:noProof/>
            <w:webHidden/>
          </w:rPr>
          <w:tab/>
        </w:r>
        <w:r>
          <w:rPr>
            <w:noProof/>
            <w:webHidden/>
          </w:rPr>
          <w:fldChar w:fldCharType="begin"/>
        </w:r>
        <w:r>
          <w:rPr>
            <w:noProof/>
            <w:webHidden/>
          </w:rPr>
          <w:instrText xml:space="preserve"> PAGEREF _Toc136865098 \h </w:instrText>
        </w:r>
        <w:r>
          <w:rPr>
            <w:noProof/>
            <w:webHidden/>
          </w:rPr>
        </w:r>
        <w:r>
          <w:rPr>
            <w:noProof/>
            <w:webHidden/>
          </w:rPr>
          <w:fldChar w:fldCharType="separate"/>
        </w:r>
        <w:r w:rsidR="00220F3D">
          <w:rPr>
            <w:noProof/>
            <w:webHidden/>
          </w:rPr>
          <w:t>36</w:t>
        </w:r>
        <w:r>
          <w:rPr>
            <w:noProof/>
            <w:webHidden/>
          </w:rPr>
          <w:fldChar w:fldCharType="end"/>
        </w:r>
      </w:hyperlink>
    </w:p>
    <w:p w14:paraId="3E5FC285" w14:textId="3367B2C2" w:rsidR="00FD2102" w:rsidRDefault="00FD2102">
      <w:pPr>
        <w:pStyle w:val="TOC4"/>
        <w:rPr>
          <w:rFonts w:asciiTheme="minorHAnsi" w:eastAsiaTheme="minorEastAsia" w:hAnsiTheme="minorHAnsi" w:cstheme="minorBidi"/>
          <w:bCs w:val="0"/>
          <w:noProof/>
          <w:kern w:val="2"/>
          <w:lang w:val="en-CA" w:eastAsia="en-CA"/>
          <w14:ligatures w14:val="standardContextual"/>
        </w:rPr>
      </w:pPr>
      <w:hyperlink w:anchor="_Toc136865099" w:history="1">
        <w:r w:rsidRPr="004E2E55">
          <w:rPr>
            <w:rStyle w:val="Hyperlink"/>
            <w:noProof/>
          </w:rPr>
          <w:t>How IFIs contribute to Indigenous food security</w:t>
        </w:r>
        <w:r>
          <w:rPr>
            <w:noProof/>
            <w:webHidden/>
          </w:rPr>
          <w:tab/>
        </w:r>
        <w:r>
          <w:rPr>
            <w:noProof/>
            <w:webHidden/>
          </w:rPr>
          <w:fldChar w:fldCharType="begin"/>
        </w:r>
        <w:r>
          <w:rPr>
            <w:noProof/>
            <w:webHidden/>
          </w:rPr>
          <w:instrText xml:space="preserve"> PAGEREF _Toc136865099 \h </w:instrText>
        </w:r>
        <w:r>
          <w:rPr>
            <w:noProof/>
            <w:webHidden/>
          </w:rPr>
        </w:r>
        <w:r>
          <w:rPr>
            <w:noProof/>
            <w:webHidden/>
          </w:rPr>
          <w:fldChar w:fldCharType="separate"/>
        </w:r>
        <w:r w:rsidR="00220F3D">
          <w:rPr>
            <w:noProof/>
            <w:webHidden/>
          </w:rPr>
          <w:t>37</w:t>
        </w:r>
        <w:r>
          <w:rPr>
            <w:noProof/>
            <w:webHidden/>
          </w:rPr>
          <w:fldChar w:fldCharType="end"/>
        </w:r>
      </w:hyperlink>
    </w:p>
    <w:p w14:paraId="7AB62F02" w14:textId="697E66A0" w:rsidR="00FD2102" w:rsidRDefault="00FD2102">
      <w:pPr>
        <w:pStyle w:val="TOC5"/>
        <w:rPr>
          <w:rFonts w:asciiTheme="minorHAnsi" w:eastAsiaTheme="minorEastAsia" w:hAnsiTheme="minorHAnsi" w:cstheme="minorBidi"/>
          <w:bCs w:val="0"/>
          <w:noProof/>
          <w:kern w:val="2"/>
          <w:lang w:val="en-CA" w:eastAsia="en-CA"/>
          <w14:ligatures w14:val="standardContextual"/>
        </w:rPr>
      </w:pPr>
      <w:hyperlink w:anchor="_Toc136865100" w:history="1">
        <w:r w:rsidRPr="004E2E55">
          <w:rPr>
            <w:rStyle w:val="Hyperlink"/>
            <w:noProof/>
          </w:rPr>
          <w:t>Native Fishing Association’s License Bank</w:t>
        </w:r>
        <w:r>
          <w:rPr>
            <w:noProof/>
            <w:webHidden/>
          </w:rPr>
          <w:tab/>
        </w:r>
        <w:r>
          <w:rPr>
            <w:noProof/>
            <w:webHidden/>
          </w:rPr>
          <w:fldChar w:fldCharType="begin"/>
        </w:r>
        <w:r>
          <w:rPr>
            <w:noProof/>
            <w:webHidden/>
          </w:rPr>
          <w:instrText xml:space="preserve"> PAGEREF _Toc136865100 \h </w:instrText>
        </w:r>
        <w:r>
          <w:rPr>
            <w:noProof/>
            <w:webHidden/>
          </w:rPr>
        </w:r>
        <w:r>
          <w:rPr>
            <w:noProof/>
            <w:webHidden/>
          </w:rPr>
          <w:fldChar w:fldCharType="separate"/>
        </w:r>
        <w:r w:rsidR="00220F3D">
          <w:rPr>
            <w:noProof/>
            <w:webHidden/>
          </w:rPr>
          <w:t>37</w:t>
        </w:r>
        <w:r>
          <w:rPr>
            <w:noProof/>
            <w:webHidden/>
          </w:rPr>
          <w:fldChar w:fldCharType="end"/>
        </w:r>
      </w:hyperlink>
    </w:p>
    <w:p w14:paraId="3A365B36" w14:textId="2FA42491" w:rsidR="00FD2102" w:rsidRDefault="00FD2102">
      <w:pPr>
        <w:pStyle w:val="TOC5"/>
        <w:rPr>
          <w:rFonts w:asciiTheme="minorHAnsi" w:eastAsiaTheme="minorEastAsia" w:hAnsiTheme="minorHAnsi" w:cstheme="minorBidi"/>
          <w:bCs w:val="0"/>
          <w:noProof/>
          <w:kern w:val="2"/>
          <w:lang w:val="en-CA" w:eastAsia="en-CA"/>
          <w14:ligatures w14:val="standardContextual"/>
        </w:rPr>
      </w:pPr>
      <w:hyperlink w:anchor="_Toc136865101" w:history="1">
        <w:r w:rsidRPr="004E2E55">
          <w:rPr>
            <w:rStyle w:val="Hyperlink"/>
            <w:noProof/>
          </w:rPr>
          <w:t>Barkley Sound oyster farming innovation project</w:t>
        </w:r>
        <w:r>
          <w:rPr>
            <w:noProof/>
            <w:webHidden/>
          </w:rPr>
          <w:tab/>
        </w:r>
        <w:r>
          <w:rPr>
            <w:noProof/>
            <w:webHidden/>
          </w:rPr>
          <w:fldChar w:fldCharType="begin"/>
        </w:r>
        <w:r>
          <w:rPr>
            <w:noProof/>
            <w:webHidden/>
          </w:rPr>
          <w:instrText xml:space="preserve"> PAGEREF _Toc136865101 \h </w:instrText>
        </w:r>
        <w:r>
          <w:rPr>
            <w:noProof/>
            <w:webHidden/>
          </w:rPr>
        </w:r>
        <w:r>
          <w:rPr>
            <w:noProof/>
            <w:webHidden/>
          </w:rPr>
          <w:fldChar w:fldCharType="separate"/>
        </w:r>
        <w:r w:rsidR="00220F3D">
          <w:rPr>
            <w:noProof/>
            <w:webHidden/>
          </w:rPr>
          <w:t>38</w:t>
        </w:r>
        <w:r>
          <w:rPr>
            <w:noProof/>
            <w:webHidden/>
          </w:rPr>
          <w:fldChar w:fldCharType="end"/>
        </w:r>
      </w:hyperlink>
    </w:p>
    <w:p w14:paraId="5255E748" w14:textId="08342320" w:rsidR="00FD2102" w:rsidRDefault="00FD2102">
      <w:pPr>
        <w:pStyle w:val="TOC5"/>
        <w:rPr>
          <w:rFonts w:asciiTheme="minorHAnsi" w:eastAsiaTheme="minorEastAsia" w:hAnsiTheme="minorHAnsi" w:cstheme="minorBidi"/>
          <w:bCs w:val="0"/>
          <w:noProof/>
          <w:kern w:val="2"/>
          <w:lang w:val="en-CA" w:eastAsia="en-CA"/>
          <w14:ligatures w14:val="standardContextual"/>
        </w:rPr>
      </w:pPr>
      <w:hyperlink w:anchor="_Toc136865102" w:history="1">
        <w:r w:rsidRPr="004E2E55">
          <w:rPr>
            <w:rStyle w:val="Hyperlink"/>
            <w:noProof/>
          </w:rPr>
          <w:t>Ontario First Nations aquaponics</w:t>
        </w:r>
        <w:r>
          <w:rPr>
            <w:noProof/>
            <w:webHidden/>
          </w:rPr>
          <w:tab/>
        </w:r>
        <w:r>
          <w:rPr>
            <w:noProof/>
            <w:webHidden/>
          </w:rPr>
          <w:fldChar w:fldCharType="begin"/>
        </w:r>
        <w:r>
          <w:rPr>
            <w:noProof/>
            <w:webHidden/>
          </w:rPr>
          <w:instrText xml:space="preserve"> PAGEREF _Toc136865102 \h </w:instrText>
        </w:r>
        <w:r>
          <w:rPr>
            <w:noProof/>
            <w:webHidden/>
          </w:rPr>
        </w:r>
        <w:r>
          <w:rPr>
            <w:noProof/>
            <w:webHidden/>
          </w:rPr>
          <w:fldChar w:fldCharType="separate"/>
        </w:r>
        <w:r w:rsidR="00220F3D">
          <w:rPr>
            <w:noProof/>
            <w:webHidden/>
          </w:rPr>
          <w:t>39</w:t>
        </w:r>
        <w:r>
          <w:rPr>
            <w:noProof/>
            <w:webHidden/>
          </w:rPr>
          <w:fldChar w:fldCharType="end"/>
        </w:r>
      </w:hyperlink>
    </w:p>
    <w:p w14:paraId="449685A1" w14:textId="13F581AA" w:rsidR="00FD2102" w:rsidRDefault="00FD2102">
      <w:pPr>
        <w:pStyle w:val="TOC5"/>
        <w:rPr>
          <w:rFonts w:asciiTheme="minorHAnsi" w:eastAsiaTheme="minorEastAsia" w:hAnsiTheme="minorHAnsi" w:cstheme="minorBidi"/>
          <w:bCs w:val="0"/>
          <w:noProof/>
          <w:kern w:val="2"/>
          <w:lang w:val="en-CA" w:eastAsia="en-CA"/>
          <w14:ligatures w14:val="standardContextual"/>
        </w:rPr>
      </w:pPr>
      <w:hyperlink w:anchor="_Toc136865103" w:history="1">
        <w:r w:rsidRPr="004E2E55">
          <w:rPr>
            <w:rStyle w:val="Hyperlink"/>
            <w:noProof/>
          </w:rPr>
          <w:t>Indigenous ranchers and farmers</w:t>
        </w:r>
        <w:r>
          <w:rPr>
            <w:noProof/>
            <w:webHidden/>
          </w:rPr>
          <w:tab/>
        </w:r>
        <w:r>
          <w:rPr>
            <w:noProof/>
            <w:webHidden/>
          </w:rPr>
          <w:fldChar w:fldCharType="begin"/>
        </w:r>
        <w:r>
          <w:rPr>
            <w:noProof/>
            <w:webHidden/>
          </w:rPr>
          <w:instrText xml:space="preserve"> PAGEREF _Toc136865103 \h </w:instrText>
        </w:r>
        <w:r>
          <w:rPr>
            <w:noProof/>
            <w:webHidden/>
          </w:rPr>
        </w:r>
        <w:r>
          <w:rPr>
            <w:noProof/>
            <w:webHidden/>
          </w:rPr>
          <w:fldChar w:fldCharType="separate"/>
        </w:r>
        <w:r w:rsidR="00220F3D">
          <w:rPr>
            <w:noProof/>
            <w:webHidden/>
          </w:rPr>
          <w:t>40</w:t>
        </w:r>
        <w:r>
          <w:rPr>
            <w:noProof/>
            <w:webHidden/>
          </w:rPr>
          <w:fldChar w:fldCharType="end"/>
        </w:r>
      </w:hyperlink>
    </w:p>
    <w:p w14:paraId="5D914E79" w14:textId="4FFA3670" w:rsidR="00FD2102" w:rsidRDefault="00FD2102">
      <w:pPr>
        <w:pStyle w:val="TOC5"/>
        <w:rPr>
          <w:rFonts w:asciiTheme="minorHAnsi" w:eastAsiaTheme="minorEastAsia" w:hAnsiTheme="minorHAnsi" w:cstheme="minorBidi"/>
          <w:bCs w:val="0"/>
          <w:noProof/>
          <w:kern w:val="2"/>
          <w:lang w:val="en-CA" w:eastAsia="en-CA"/>
          <w14:ligatures w14:val="standardContextual"/>
        </w:rPr>
      </w:pPr>
      <w:hyperlink w:anchor="_Toc136865104" w:history="1">
        <w:r w:rsidRPr="004E2E55">
          <w:rPr>
            <w:rStyle w:val="Hyperlink"/>
            <w:noProof/>
          </w:rPr>
          <w:t>Indigenous food services and stores</w:t>
        </w:r>
        <w:r>
          <w:rPr>
            <w:noProof/>
            <w:webHidden/>
          </w:rPr>
          <w:tab/>
        </w:r>
        <w:r>
          <w:rPr>
            <w:noProof/>
            <w:webHidden/>
          </w:rPr>
          <w:fldChar w:fldCharType="begin"/>
        </w:r>
        <w:r>
          <w:rPr>
            <w:noProof/>
            <w:webHidden/>
          </w:rPr>
          <w:instrText xml:space="preserve"> PAGEREF _Toc136865104 \h </w:instrText>
        </w:r>
        <w:r>
          <w:rPr>
            <w:noProof/>
            <w:webHidden/>
          </w:rPr>
        </w:r>
        <w:r>
          <w:rPr>
            <w:noProof/>
            <w:webHidden/>
          </w:rPr>
          <w:fldChar w:fldCharType="separate"/>
        </w:r>
        <w:r w:rsidR="00220F3D">
          <w:rPr>
            <w:noProof/>
            <w:webHidden/>
          </w:rPr>
          <w:t>41</w:t>
        </w:r>
        <w:r>
          <w:rPr>
            <w:noProof/>
            <w:webHidden/>
          </w:rPr>
          <w:fldChar w:fldCharType="end"/>
        </w:r>
      </w:hyperlink>
    </w:p>
    <w:p w14:paraId="2A7C61C2" w14:textId="2D59C927" w:rsidR="00FD2102" w:rsidRDefault="00FD2102">
      <w:pPr>
        <w:pStyle w:val="TOC6"/>
        <w:rPr>
          <w:rFonts w:asciiTheme="minorHAnsi" w:eastAsiaTheme="minorEastAsia" w:hAnsiTheme="minorHAnsi" w:cstheme="minorBidi"/>
          <w:bCs w:val="0"/>
          <w:noProof/>
          <w:kern w:val="2"/>
          <w:lang w:val="en-CA" w:eastAsia="en-CA"/>
          <w14:ligatures w14:val="standardContextual"/>
        </w:rPr>
      </w:pPr>
      <w:hyperlink w:anchor="_Toc136865105" w:history="1">
        <w:r w:rsidRPr="004E2E55">
          <w:rPr>
            <w:rStyle w:val="Hyperlink"/>
            <w:noProof/>
          </w:rPr>
          <w:t>Gitxaala Nation’s Social Enterprise Restaurant</w:t>
        </w:r>
        <w:r>
          <w:rPr>
            <w:noProof/>
            <w:webHidden/>
          </w:rPr>
          <w:tab/>
        </w:r>
        <w:r>
          <w:rPr>
            <w:noProof/>
            <w:webHidden/>
          </w:rPr>
          <w:fldChar w:fldCharType="begin"/>
        </w:r>
        <w:r>
          <w:rPr>
            <w:noProof/>
            <w:webHidden/>
          </w:rPr>
          <w:instrText xml:space="preserve"> PAGEREF _Toc136865105 \h </w:instrText>
        </w:r>
        <w:r>
          <w:rPr>
            <w:noProof/>
            <w:webHidden/>
          </w:rPr>
        </w:r>
        <w:r>
          <w:rPr>
            <w:noProof/>
            <w:webHidden/>
          </w:rPr>
          <w:fldChar w:fldCharType="separate"/>
        </w:r>
        <w:r w:rsidR="00220F3D">
          <w:rPr>
            <w:noProof/>
            <w:webHidden/>
          </w:rPr>
          <w:t>41</w:t>
        </w:r>
        <w:r>
          <w:rPr>
            <w:noProof/>
            <w:webHidden/>
          </w:rPr>
          <w:fldChar w:fldCharType="end"/>
        </w:r>
      </w:hyperlink>
    </w:p>
    <w:p w14:paraId="00BF153D" w14:textId="0FFA1E00" w:rsidR="00FD2102" w:rsidRDefault="00FD2102">
      <w:pPr>
        <w:pStyle w:val="TOC4"/>
        <w:rPr>
          <w:rFonts w:asciiTheme="minorHAnsi" w:eastAsiaTheme="minorEastAsia" w:hAnsiTheme="minorHAnsi" w:cstheme="minorBidi"/>
          <w:bCs w:val="0"/>
          <w:noProof/>
          <w:kern w:val="2"/>
          <w:lang w:val="en-CA" w:eastAsia="en-CA"/>
          <w14:ligatures w14:val="standardContextual"/>
        </w:rPr>
      </w:pPr>
      <w:hyperlink w:anchor="_Toc136865106" w:history="1">
        <w:r w:rsidRPr="004E2E55">
          <w:rPr>
            <w:rStyle w:val="Hyperlink"/>
            <w:noProof/>
          </w:rPr>
          <w:t>How IFIs contribute to Indigenous health services and mental health supports</w:t>
        </w:r>
        <w:r>
          <w:rPr>
            <w:noProof/>
            <w:webHidden/>
          </w:rPr>
          <w:tab/>
        </w:r>
        <w:r>
          <w:rPr>
            <w:noProof/>
            <w:webHidden/>
          </w:rPr>
          <w:fldChar w:fldCharType="begin"/>
        </w:r>
        <w:r>
          <w:rPr>
            <w:noProof/>
            <w:webHidden/>
          </w:rPr>
          <w:instrText xml:space="preserve"> PAGEREF _Toc136865106 \h </w:instrText>
        </w:r>
        <w:r>
          <w:rPr>
            <w:noProof/>
            <w:webHidden/>
          </w:rPr>
        </w:r>
        <w:r>
          <w:rPr>
            <w:noProof/>
            <w:webHidden/>
          </w:rPr>
          <w:fldChar w:fldCharType="separate"/>
        </w:r>
        <w:r w:rsidR="00220F3D">
          <w:rPr>
            <w:noProof/>
            <w:webHidden/>
          </w:rPr>
          <w:t>42</w:t>
        </w:r>
        <w:r>
          <w:rPr>
            <w:noProof/>
            <w:webHidden/>
          </w:rPr>
          <w:fldChar w:fldCharType="end"/>
        </w:r>
      </w:hyperlink>
    </w:p>
    <w:p w14:paraId="3D9E7CC2" w14:textId="6911B541" w:rsidR="00FD2102" w:rsidRDefault="00FD2102">
      <w:pPr>
        <w:pStyle w:val="TOC5"/>
        <w:rPr>
          <w:rFonts w:asciiTheme="minorHAnsi" w:eastAsiaTheme="minorEastAsia" w:hAnsiTheme="minorHAnsi" w:cstheme="minorBidi"/>
          <w:bCs w:val="0"/>
          <w:noProof/>
          <w:kern w:val="2"/>
          <w:lang w:val="en-CA" w:eastAsia="en-CA"/>
          <w14:ligatures w14:val="standardContextual"/>
        </w:rPr>
      </w:pPr>
      <w:hyperlink w:anchor="_Toc136865107" w:history="1">
        <w:r w:rsidRPr="004E2E55">
          <w:rPr>
            <w:rStyle w:val="Hyperlink"/>
            <w:noProof/>
          </w:rPr>
          <w:t>Healthcare infrastructure and facilities</w:t>
        </w:r>
        <w:r>
          <w:rPr>
            <w:noProof/>
            <w:webHidden/>
          </w:rPr>
          <w:tab/>
        </w:r>
        <w:r>
          <w:rPr>
            <w:noProof/>
            <w:webHidden/>
          </w:rPr>
          <w:fldChar w:fldCharType="begin"/>
        </w:r>
        <w:r>
          <w:rPr>
            <w:noProof/>
            <w:webHidden/>
          </w:rPr>
          <w:instrText xml:space="preserve"> PAGEREF _Toc136865107 \h </w:instrText>
        </w:r>
        <w:r>
          <w:rPr>
            <w:noProof/>
            <w:webHidden/>
          </w:rPr>
        </w:r>
        <w:r>
          <w:rPr>
            <w:noProof/>
            <w:webHidden/>
          </w:rPr>
          <w:fldChar w:fldCharType="separate"/>
        </w:r>
        <w:r w:rsidR="00220F3D">
          <w:rPr>
            <w:noProof/>
            <w:webHidden/>
          </w:rPr>
          <w:t>42</w:t>
        </w:r>
        <w:r>
          <w:rPr>
            <w:noProof/>
            <w:webHidden/>
          </w:rPr>
          <w:fldChar w:fldCharType="end"/>
        </w:r>
      </w:hyperlink>
    </w:p>
    <w:p w14:paraId="0424EFC7" w14:textId="6CC8E355" w:rsidR="00FD2102" w:rsidRDefault="00FD2102">
      <w:pPr>
        <w:pStyle w:val="TOC5"/>
        <w:rPr>
          <w:rFonts w:asciiTheme="minorHAnsi" w:eastAsiaTheme="minorEastAsia" w:hAnsiTheme="minorHAnsi" w:cstheme="minorBidi"/>
          <w:bCs w:val="0"/>
          <w:noProof/>
          <w:kern w:val="2"/>
          <w:lang w:val="en-CA" w:eastAsia="en-CA"/>
          <w14:ligatures w14:val="standardContextual"/>
        </w:rPr>
      </w:pPr>
      <w:hyperlink w:anchor="_Toc136865108" w:history="1">
        <w:r w:rsidRPr="004E2E55">
          <w:rPr>
            <w:rStyle w:val="Hyperlink"/>
            <w:noProof/>
          </w:rPr>
          <w:t>Indigenous health professionals</w:t>
        </w:r>
        <w:r>
          <w:rPr>
            <w:noProof/>
            <w:webHidden/>
          </w:rPr>
          <w:tab/>
        </w:r>
        <w:r>
          <w:rPr>
            <w:noProof/>
            <w:webHidden/>
          </w:rPr>
          <w:fldChar w:fldCharType="begin"/>
        </w:r>
        <w:r>
          <w:rPr>
            <w:noProof/>
            <w:webHidden/>
          </w:rPr>
          <w:instrText xml:space="preserve"> PAGEREF _Toc136865108 \h </w:instrText>
        </w:r>
        <w:r>
          <w:rPr>
            <w:noProof/>
            <w:webHidden/>
          </w:rPr>
        </w:r>
        <w:r>
          <w:rPr>
            <w:noProof/>
            <w:webHidden/>
          </w:rPr>
          <w:fldChar w:fldCharType="separate"/>
        </w:r>
        <w:r w:rsidR="00220F3D">
          <w:rPr>
            <w:noProof/>
            <w:webHidden/>
          </w:rPr>
          <w:t>43</w:t>
        </w:r>
        <w:r>
          <w:rPr>
            <w:noProof/>
            <w:webHidden/>
          </w:rPr>
          <w:fldChar w:fldCharType="end"/>
        </w:r>
      </w:hyperlink>
    </w:p>
    <w:p w14:paraId="180F674F" w14:textId="5822A57B" w:rsidR="00FD2102" w:rsidRDefault="00FD2102">
      <w:pPr>
        <w:pStyle w:val="TOC5"/>
        <w:rPr>
          <w:rFonts w:asciiTheme="minorHAnsi" w:eastAsiaTheme="minorEastAsia" w:hAnsiTheme="minorHAnsi" w:cstheme="minorBidi"/>
          <w:bCs w:val="0"/>
          <w:noProof/>
          <w:kern w:val="2"/>
          <w:lang w:val="en-CA" w:eastAsia="en-CA"/>
          <w14:ligatures w14:val="standardContextual"/>
        </w:rPr>
      </w:pPr>
      <w:hyperlink w:anchor="_Toc136865109" w:history="1">
        <w:r w:rsidRPr="004E2E55">
          <w:rPr>
            <w:rStyle w:val="Hyperlink"/>
            <w:noProof/>
          </w:rPr>
          <w:t>Indigenous mental health and wellbeing</w:t>
        </w:r>
        <w:r>
          <w:rPr>
            <w:noProof/>
            <w:webHidden/>
          </w:rPr>
          <w:tab/>
        </w:r>
        <w:r>
          <w:rPr>
            <w:noProof/>
            <w:webHidden/>
          </w:rPr>
          <w:fldChar w:fldCharType="begin"/>
        </w:r>
        <w:r>
          <w:rPr>
            <w:noProof/>
            <w:webHidden/>
          </w:rPr>
          <w:instrText xml:space="preserve"> PAGEREF _Toc136865109 \h </w:instrText>
        </w:r>
        <w:r>
          <w:rPr>
            <w:noProof/>
            <w:webHidden/>
          </w:rPr>
        </w:r>
        <w:r>
          <w:rPr>
            <w:noProof/>
            <w:webHidden/>
          </w:rPr>
          <w:fldChar w:fldCharType="separate"/>
        </w:r>
        <w:r w:rsidR="00220F3D">
          <w:rPr>
            <w:noProof/>
            <w:webHidden/>
          </w:rPr>
          <w:t>44</w:t>
        </w:r>
        <w:r>
          <w:rPr>
            <w:noProof/>
            <w:webHidden/>
          </w:rPr>
          <w:fldChar w:fldCharType="end"/>
        </w:r>
      </w:hyperlink>
    </w:p>
    <w:p w14:paraId="21FAF627" w14:textId="7DB989C3" w:rsidR="00FD2102" w:rsidRDefault="00FD2102">
      <w:pPr>
        <w:pStyle w:val="TOC6"/>
        <w:rPr>
          <w:rFonts w:asciiTheme="minorHAnsi" w:eastAsiaTheme="minorEastAsia" w:hAnsiTheme="minorHAnsi" w:cstheme="minorBidi"/>
          <w:bCs w:val="0"/>
          <w:noProof/>
          <w:kern w:val="2"/>
          <w:lang w:val="en-CA" w:eastAsia="en-CA"/>
          <w14:ligatures w14:val="standardContextual"/>
        </w:rPr>
      </w:pPr>
      <w:hyperlink w:anchor="_Toc136865110" w:history="1">
        <w:r w:rsidRPr="004E2E55">
          <w:rPr>
            <w:rStyle w:val="Hyperlink"/>
            <w:noProof/>
          </w:rPr>
          <w:t>Crow’s Light Healing and Discovery</w:t>
        </w:r>
        <w:r>
          <w:rPr>
            <w:noProof/>
            <w:webHidden/>
          </w:rPr>
          <w:tab/>
        </w:r>
        <w:r>
          <w:rPr>
            <w:noProof/>
            <w:webHidden/>
          </w:rPr>
          <w:fldChar w:fldCharType="begin"/>
        </w:r>
        <w:r>
          <w:rPr>
            <w:noProof/>
            <w:webHidden/>
          </w:rPr>
          <w:instrText xml:space="preserve"> PAGEREF _Toc136865110 \h </w:instrText>
        </w:r>
        <w:r>
          <w:rPr>
            <w:noProof/>
            <w:webHidden/>
          </w:rPr>
        </w:r>
        <w:r>
          <w:rPr>
            <w:noProof/>
            <w:webHidden/>
          </w:rPr>
          <w:fldChar w:fldCharType="separate"/>
        </w:r>
        <w:r w:rsidR="00220F3D">
          <w:rPr>
            <w:noProof/>
            <w:webHidden/>
          </w:rPr>
          <w:t>44</w:t>
        </w:r>
        <w:r>
          <w:rPr>
            <w:noProof/>
            <w:webHidden/>
          </w:rPr>
          <w:fldChar w:fldCharType="end"/>
        </w:r>
      </w:hyperlink>
    </w:p>
    <w:p w14:paraId="33C1EF57" w14:textId="221AA6DF" w:rsidR="00FD2102" w:rsidRDefault="00FD2102">
      <w:pPr>
        <w:pStyle w:val="TOC6"/>
        <w:rPr>
          <w:rFonts w:asciiTheme="minorHAnsi" w:eastAsiaTheme="minorEastAsia" w:hAnsiTheme="minorHAnsi" w:cstheme="minorBidi"/>
          <w:bCs w:val="0"/>
          <w:noProof/>
          <w:kern w:val="2"/>
          <w:lang w:val="en-CA" w:eastAsia="en-CA"/>
          <w14:ligatures w14:val="standardContextual"/>
        </w:rPr>
      </w:pPr>
      <w:hyperlink w:anchor="_Toc136865111" w:history="1">
        <w:r w:rsidRPr="004E2E55">
          <w:rPr>
            <w:rStyle w:val="Hyperlink"/>
            <w:noProof/>
          </w:rPr>
          <w:t>Wellbeing and Indigenous cultural activities</w:t>
        </w:r>
        <w:r>
          <w:rPr>
            <w:noProof/>
            <w:webHidden/>
          </w:rPr>
          <w:tab/>
        </w:r>
        <w:r>
          <w:rPr>
            <w:noProof/>
            <w:webHidden/>
          </w:rPr>
          <w:fldChar w:fldCharType="begin"/>
        </w:r>
        <w:r>
          <w:rPr>
            <w:noProof/>
            <w:webHidden/>
          </w:rPr>
          <w:instrText xml:space="preserve"> PAGEREF _Toc136865111 \h </w:instrText>
        </w:r>
        <w:r>
          <w:rPr>
            <w:noProof/>
            <w:webHidden/>
          </w:rPr>
        </w:r>
        <w:r>
          <w:rPr>
            <w:noProof/>
            <w:webHidden/>
          </w:rPr>
          <w:fldChar w:fldCharType="separate"/>
        </w:r>
        <w:r w:rsidR="00220F3D">
          <w:rPr>
            <w:noProof/>
            <w:webHidden/>
          </w:rPr>
          <w:t>44</w:t>
        </w:r>
        <w:r>
          <w:rPr>
            <w:noProof/>
            <w:webHidden/>
          </w:rPr>
          <w:fldChar w:fldCharType="end"/>
        </w:r>
      </w:hyperlink>
    </w:p>
    <w:p w14:paraId="3207A6C9" w14:textId="22B4933A" w:rsidR="00FD2102" w:rsidRDefault="00FD2102">
      <w:pPr>
        <w:pStyle w:val="TOC6"/>
        <w:rPr>
          <w:rFonts w:asciiTheme="minorHAnsi" w:eastAsiaTheme="minorEastAsia" w:hAnsiTheme="minorHAnsi" w:cstheme="minorBidi"/>
          <w:bCs w:val="0"/>
          <w:noProof/>
          <w:kern w:val="2"/>
          <w:lang w:val="en-CA" w:eastAsia="en-CA"/>
          <w14:ligatures w14:val="standardContextual"/>
        </w:rPr>
      </w:pPr>
      <w:hyperlink w:anchor="_Toc136865112" w:history="1">
        <w:r w:rsidRPr="004E2E55">
          <w:rPr>
            <w:rStyle w:val="Hyperlink"/>
            <w:noProof/>
          </w:rPr>
          <w:t>Ay Lelum</w:t>
        </w:r>
        <w:r>
          <w:rPr>
            <w:noProof/>
            <w:webHidden/>
          </w:rPr>
          <w:tab/>
        </w:r>
        <w:r>
          <w:rPr>
            <w:noProof/>
            <w:webHidden/>
          </w:rPr>
          <w:fldChar w:fldCharType="begin"/>
        </w:r>
        <w:r>
          <w:rPr>
            <w:noProof/>
            <w:webHidden/>
          </w:rPr>
          <w:instrText xml:space="preserve"> PAGEREF _Toc136865112 \h </w:instrText>
        </w:r>
        <w:r>
          <w:rPr>
            <w:noProof/>
            <w:webHidden/>
          </w:rPr>
        </w:r>
        <w:r>
          <w:rPr>
            <w:noProof/>
            <w:webHidden/>
          </w:rPr>
          <w:fldChar w:fldCharType="separate"/>
        </w:r>
        <w:r w:rsidR="00220F3D">
          <w:rPr>
            <w:noProof/>
            <w:webHidden/>
          </w:rPr>
          <w:t>45</w:t>
        </w:r>
        <w:r>
          <w:rPr>
            <w:noProof/>
            <w:webHidden/>
          </w:rPr>
          <w:fldChar w:fldCharType="end"/>
        </w:r>
      </w:hyperlink>
    </w:p>
    <w:p w14:paraId="6A96401D" w14:textId="60DBD42E" w:rsidR="00FD2102" w:rsidRDefault="00FD2102">
      <w:pPr>
        <w:pStyle w:val="TOC6"/>
        <w:rPr>
          <w:rFonts w:asciiTheme="minorHAnsi" w:eastAsiaTheme="minorEastAsia" w:hAnsiTheme="minorHAnsi" w:cstheme="minorBidi"/>
          <w:bCs w:val="0"/>
          <w:noProof/>
          <w:kern w:val="2"/>
          <w:lang w:val="en-CA" w:eastAsia="en-CA"/>
          <w14:ligatures w14:val="standardContextual"/>
        </w:rPr>
      </w:pPr>
      <w:hyperlink w:anchor="_Toc136865113" w:history="1">
        <w:r w:rsidRPr="004E2E55">
          <w:rPr>
            <w:rStyle w:val="Hyperlink"/>
            <w:noProof/>
          </w:rPr>
          <w:t>Nunavut Sivuniksavut</w:t>
        </w:r>
        <w:r>
          <w:rPr>
            <w:noProof/>
            <w:webHidden/>
          </w:rPr>
          <w:tab/>
        </w:r>
        <w:r>
          <w:rPr>
            <w:noProof/>
            <w:webHidden/>
          </w:rPr>
          <w:fldChar w:fldCharType="begin"/>
        </w:r>
        <w:r>
          <w:rPr>
            <w:noProof/>
            <w:webHidden/>
          </w:rPr>
          <w:instrText xml:space="preserve"> PAGEREF _Toc136865113 \h </w:instrText>
        </w:r>
        <w:r>
          <w:rPr>
            <w:noProof/>
            <w:webHidden/>
          </w:rPr>
        </w:r>
        <w:r>
          <w:rPr>
            <w:noProof/>
            <w:webHidden/>
          </w:rPr>
          <w:fldChar w:fldCharType="separate"/>
        </w:r>
        <w:r w:rsidR="00220F3D">
          <w:rPr>
            <w:noProof/>
            <w:webHidden/>
          </w:rPr>
          <w:t>46</w:t>
        </w:r>
        <w:r>
          <w:rPr>
            <w:noProof/>
            <w:webHidden/>
          </w:rPr>
          <w:fldChar w:fldCharType="end"/>
        </w:r>
      </w:hyperlink>
    </w:p>
    <w:p w14:paraId="2126833C" w14:textId="63B0AC1E" w:rsidR="00FD2102" w:rsidRDefault="00FD2102">
      <w:pPr>
        <w:pStyle w:val="TOC6"/>
        <w:rPr>
          <w:rFonts w:asciiTheme="minorHAnsi" w:eastAsiaTheme="minorEastAsia" w:hAnsiTheme="minorHAnsi" w:cstheme="minorBidi"/>
          <w:bCs w:val="0"/>
          <w:noProof/>
          <w:kern w:val="2"/>
          <w:lang w:val="en-CA" w:eastAsia="en-CA"/>
          <w14:ligatures w14:val="standardContextual"/>
        </w:rPr>
      </w:pPr>
      <w:hyperlink w:anchor="_Toc136865114" w:history="1">
        <w:r w:rsidRPr="004E2E55">
          <w:rPr>
            <w:rStyle w:val="Hyperlink"/>
            <w:noProof/>
          </w:rPr>
          <w:t>Ulnooweg’s Asitu'lisk</w:t>
        </w:r>
        <w:r>
          <w:rPr>
            <w:noProof/>
            <w:webHidden/>
          </w:rPr>
          <w:tab/>
        </w:r>
        <w:r>
          <w:rPr>
            <w:noProof/>
            <w:webHidden/>
          </w:rPr>
          <w:fldChar w:fldCharType="begin"/>
        </w:r>
        <w:r>
          <w:rPr>
            <w:noProof/>
            <w:webHidden/>
          </w:rPr>
          <w:instrText xml:space="preserve"> PAGEREF _Toc136865114 \h </w:instrText>
        </w:r>
        <w:r>
          <w:rPr>
            <w:noProof/>
            <w:webHidden/>
          </w:rPr>
        </w:r>
        <w:r>
          <w:rPr>
            <w:noProof/>
            <w:webHidden/>
          </w:rPr>
          <w:fldChar w:fldCharType="separate"/>
        </w:r>
        <w:r w:rsidR="00220F3D">
          <w:rPr>
            <w:noProof/>
            <w:webHidden/>
          </w:rPr>
          <w:t>47</w:t>
        </w:r>
        <w:r>
          <w:rPr>
            <w:noProof/>
            <w:webHidden/>
          </w:rPr>
          <w:fldChar w:fldCharType="end"/>
        </w:r>
      </w:hyperlink>
    </w:p>
    <w:p w14:paraId="5D856172" w14:textId="0E331193" w:rsidR="00FD2102" w:rsidRDefault="00FD2102">
      <w:pPr>
        <w:pStyle w:val="TOC4"/>
        <w:rPr>
          <w:rFonts w:asciiTheme="minorHAnsi" w:eastAsiaTheme="minorEastAsia" w:hAnsiTheme="minorHAnsi" w:cstheme="minorBidi"/>
          <w:bCs w:val="0"/>
          <w:noProof/>
          <w:kern w:val="2"/>
          <w:lang w:val="en-CA" w:eastAsia="en-CA"/>
          <w14:ligatures w14:val="standardContextual"/>
        </w:rPr>
      </w:pPr>
      <w:hyperlink w:anchor="_Toc136865115" w:history="1">
        <w:r w:rsidRPr="004E2E55">
          <w:rPr>
            <w:rStyle w:val="Hyperlink"/>
            <w:noProof/>
          </w:rPr>
          <w:t>How IFIs contribute to Indigenous housing options</w:t>
        </w:r>
        <w:r>
          <w:rPr>
            <w:noProof/>
            <w:webHidden/>
          </w:rPr>
          <w:tab/>
        </w:r>
        <w:r>
          <w:rPr>
            <w:noProof/>
            <w:webHidden/>
          </w:rPr>
          <w:fldChar w:fldCharType="begin"/>
        </w:r>
        <w:r>
          <w:rPr>
            <w:noProof/>
            <w:webHidden/>
          </w:rPr>
          <w:instrText xml:space="preserve"> PAGEREF _Toc136865115 \h </w:instrText>
        </w:r>
        <w:r>
          <w:rPr>
            <w:noProof/>
            <w:webHidden/>
          </w:rPr>
        </w:r>
        <w:r>
          <w:rPr>
            <w:noProof/>
            <w:webHidden/>
          </w:rPr>
          <w:fldChar w:fldCharType="separate"/>
        </w:r>
        <w:r w:rsidR="00220F3D">
          <w:rPr>
            <w:noProof/>
            <w:webHidden/>
          </w:rPr>
          <w:t>47</w:t>
        </w:r>
        <w:r>
          <w:rPr>
            <w:noProof/>
            <w:webHidden/>
          </w:rPr>
          <w:fldChar w:fldCharType="end"/>
        </w:r>
      </w:hyperlink>
    </w:p>
    <w:p w14:paraId="60F84BA5" w14:textId="27862EFB" w:rsidR="00FD2102" w:rsidRDefault="00FD2102">
      <w:pPr>
        <w:pStyle w:val="TOC5"/>
        <w:rPr>
          <w:rFonts w:asciiTheme="minorHAnsi" w:eastAsiaTheme="minorEastAsia" w:hAnsiTheme="minorHAnsi" w:cstheme="minorBidi"/>
          <w:bCs w:val="0"/>
          <w:noProof/>
          <w:kern w:val="2"/>
          <w:lang w:val="en-CA" w:eastAsia="en-CA"/>
          <w14:ligatures w14:val="standardContextual"/>
        </w:rPr>
      </w:pPr>
      <w:hyperlink w:anchor="_Toc136865116" w:history="1">
        <w:r w:rsidRPr="004E2E55">
          <w:rPr>
            <w:rStyle w:val="Hyperlink"/>
            <w:noProof/>
          </w:rPr>
          <w:t>ABSCAN’s First Nations Housing Program</w:t>
        </w:r>
        <w:r>
          <w:rPr>
            <w:noProof/>
            <w:webHidden/>
          </w:rPr>
          <w:tab/>
        </w:r>
        <w:r>
          <w:rPr>
            <w:noProof/>
            <w:webHidden/>
          </w:rPr>
          <w:fldChar w:fldCharType="begin"/>
        </w:r>
        <w:r>
          <w:rPr>
            <w:noProof/>
            <w:webHidden/>
          </w:rPr>
          <w:instrText xml:space="preserve"> PAGEREF _Toc136865116 \h </w:instrText>
        </w:r>
        <w:r>
          <w:rPr>
            <w:noProof/>
            <w:webHidden/>
          </w:rPr>
        </w:r>
        <w:r>
          <w:rPr>
            <w:noProof/>
            <w:webHidden/>
          </w:rPr>
          <w:fldChar w:fldCharType="separate"/>
        </w:r>
        <w:r w:rsidR="00220F3D">
          <w:rPr>
            <w:noProof/>
            <w:webHidden/>
          </w:rPr>
          <w:t>48</w:t>
        </w:r>
        <w:r>
          <w:rPr>
            <w:noProof/>
            <w:webHidden/>
          </w:rPr>
          <w:fldChar w:fldCharType="end"/>
        </w:r>
      </w:hyperlink>
    </w:p>
    <w:p w14:paraId="307AF519" w14:textId="615AB382" w:rsidR="00FD2102" w:rsidRDefault="00FD2102">
      <w:pPr>
        <w:pStyle w:val="TOC5"/>
        <w:rPr>
          <w:rFonts w:asciiTheme="minorHAnsi" w:eastAsiaTheme="minorEastAsia" w:hAnsiTheme="minorHAnsi" w:cstheme="minorBidi"/>
          <w:bCs w:val="0"/>
          <w:noProof/>
          <w:kern w:val="2"/>
          <w:lang w:val="en-CA" w:eastAsia="en-CA"/>
          <w14:ligatures w14:val="standardContextual"/>
        </w:rPr>
      </w:pPr>
      <w:hyperlink w:anchor="_Toc136865117" w:history="1">
        <w:r w:rsidRPr="004E2E55">
          <w:rPr>
            <w:rStyle w:val="Hyperlink"/>
            <w:noProof/>
          </w:rPr>
          <w:t>Walker Home Construction</w:t>
        </w:r>
        <w:r>
          <w:rPr>
            <w:noProof/>
            <w:webHidden/>
          </w:rPr>
          <w:tab/>
        </w:r>
        <w:r>
          <w:rPr>
            <w:noProof/>
            <w:webHidden/>
          </w:rPr>
          <w:fldChar w:fldCharType="begin"/>
        </w:r>
        <w:r>
          <w:rPr>
            <w:noProof/>
            <w:webHidden/>
          </w:rPr>
          <w:instrText xml:space="preserve"> PAGEREF _Toc136865117 \h </w:instrText>
        </w:r>
        <w:r>
          <w:rPr>
            <w:noProof/>
            <w:webHidden/>
          </w:rPr>
        </w:r>
        <w:r>
          <w:rPr>
            <w:noProof/>
            <w:webHidden/>
          </w:rPr>
          <w:fldChar w:fldCharType="separate"/>
        </w:r>
        <w:r w:rsidR="00220F3D">
          <w:rPr>
            <w:noProof/>
            <w:webHidden/>
          </w:rPr>
          <w:t>48</w:t>
        </w:r>
        <w:r>
          <w:rPr>
            <w:noProof/>
            <w:webHidden/>
          </w:rPr>
          <w:fldChar w:fldCharType="end"/>
        </w:r>
      </w:hyperlink>
    </w:p>
    <w:p w14:paraId="78199918" w14:textId="3A41D660" w:rsidR="00FD2102" w:rsidRDefault="00FD2102">
      <w:pPr>
        <w:pStyle w:val="TOC1"/>
        <w:rPr>
          <w:rFonts w:asciiTheme="minorHAnsi" w:eastAsiaTheme="minorEastAsia" w:hAnsiTheme="minorHAnsi" w:cstheme="minorBidi"/>
          <w:bCs w:val="0"/>
          <w:noProof/>
          <w:kern w:val="2"/>
          <w:lang w:val="en-CA" w:eastAsia="en-CA"/>
          <w14:ligatures w14:val="standardContextual"/>
        </w:rPr>
      </w:pPr>
      <w:hyperlink w:anchor="_Toc136865118" w:history="1">
        <w:r w:rsidRPr="004E2E55">
          <w:rPr>
            <w:rStyle w:val="Hyperlink"/>
            <w:noProof/>
          </w:rPr>
          <w:t>Conclusion</w:t>
        </w:r>
        <w:r>
          <w:rPr>
            <w:noProof/>
            <w:webHidden/>
          </w:rPr>
          <w:tab/>
        </w:r>
        <w:r>
          <w:rPr>
            <w:noProof/>
            <w:webHidden/>
          </w:rPr>
          <w:fldChar w:fldCharType="begin"/>
        </w:r>
        <w:r>
          <w:rPr>
            <w:noProof/>
            <w:webHidden/>
          </w:rPr>
          <w:instrText xml:space="preserve"> PAGEREF _Toc136865118 \h </w:instrText>
        </w:r>
        <w:r>
          <w:rPr>
            <w:noProof/>
            <w:webHidden/>
          </w:rPr>
        </w:r>
        <w:r>
          <w:rPr>
            <w:noProof/>
            <w:webHidden/>
          </w:rPr>
          <w:fldChar w:fldCharType="separate"/>
        </w:r>
        <w:r w:rsidR="00220F3D">
          <w:rPr>
            <w:noProof/>
            <w:webHidden/>
          </w:rPr>
          <w:t>50</w:t>
        </w:r>
        <w:r>
          <w:rPr>
            <w:noProof/>
            <w:webHidden/>
          </w:rPr>
          <w:fldChar w:fldCharType="end"/>
        </w:r>
      </w:hyperlink>
    </w:p>
    <w:p w14:paraId="091325D5" w14:textId="02FD00A3" w:rsidR="00FD2102" w:rsidRDefault="00FD2102">
      <w:pPr>
        <w:pStyle w:val="TOC2"/>
        <w:rPr>
          <w:rFonts w:asciiTheme="minorHAnsi" w:eastAsiaTheme="minorEastAsia" w:hAnsiTheme="minorHAnsi" w:cstheme="minorBidi"/>
          <w:bCs w:val="0"/>
          <w:noProof/>
          <w:kern w:val="2"/>
          <w:lang w:val="en-CA" w:eastAsia="en-CA"/>
          <w14:ligatures w14:val="standardContextual"/>
        </w:rPr>
      </w:pPr>
      <w:hyperlink w:anchor="_Toc136865119" w:history="1">
        <w:r w:rsidRPr="004E2E55">
          <w:rPr>
            <w:rStyle w:val="Hyperlink"/>
            <w:noProof/>
          </w:rPr>
          <w:t>IFIs Build Social and Economic Capital</w:t>
        </w:r>
        <w:r>
          <w:rPr>
            <w:noProof/>
            <w:webHidden/>
          </w:rPr>
          <w:tab/>
        </w:r>
        <w:r>
          <w:rPr>
            <w:noProof/>
            <w:webHidden/>
          </w:rPr>
          <w:fldChar w:fldCharType="begin"/>
        </w:r>
        <w:r>
          <w:rPr>
            <w:noProof/>
            <w:webHidden/>
          </w:rPr>
          <w:instrText xml:space="preserve"> PAGEREF _Toc136865119 \h </w:instrText>
        </w:r>
        <w:r>
          <w:rPr>
            <w:noProof/>
            <w:webHidden/>
          </w:rPr>
        </w:r>
        <w:r>
          <w:rPr>
            <w:noProof/>
            <w:webHidden/>
          </w:rPr>
          <w:fldChar w:fldCharType="separate"/>
        </w:r>
        <w:r w:rsidR="00220F3D">
          <w:rPr>
            <w:noProof/>
            <w:webHidden/>
          </w:rPr>
          <w:t>50</w:t>
        </w:r>
        <w:r>
          <w:rPr>
            <w:noProof/>
            <w:webHidden/>
          </w:rPr>
          <w:fldChar w:fldCharType="end"/>
        </w:r>
      </w:hyperlink>
    </w:p>
    <w:p w14:paraId="3E9F1673" w14:textId="1C98B183" w:rsidR="00FD2102" w:rsidRDefault="00FD2102">
      <w:pPr>
        <w:pStyle w:val="TOC1"/>
        <w:rPr>
          <w:rFonts w:asciiTheme="minorHAnsi" w:eastAsiaTheme="minorEastAsia" w:hAnsiTheme="minorHAnsi" w:cstheme="minorBidi"/>
          <w:bCs w:val="0"/>
          <w:noProof/>
          <w:kern w:val="2"/>
          <w:lang w:val="en-CA" w:eastAsia="en-CA"/>
          <w14:ligatures w14:val="standardContextual"/>
        </w:rPr>
      </w:pPr>
      <w:hyperlink w:anchor="_Toc136865120" w:history="1">
        <w:r w:rsidRPr="004E2E55">
          <w:rPr>
            <w:rStyle w:val="Hyperlink"/>
            <w:noProof/>
          </w:rPr>
          <w:t>Appendix A</w:t>
        </w:r>
        <w:r>
          <w:rPr>
            <w:noProof/>
            <w:webHidden/>
          </w:rPr>
          <w:tab/>
        </w:r>
        <w:r>
          <w:rPr>
            <w:noProof/>
            <w:webHidden/>
          </w:rPr>
          <w:fldChar w:fldCharType="begin"/>
        </w:r>
        <w:r>
          <w:rPr>
            <w:noProof/>
            <w:webHidden/>
          </w:rPr>
          <w:instrText xml:space="preserve"> PAGEREF _Toc136865120 \h </w:instrText>
        </w:r>
        <w:r>
          <w:rPr>
            <w:noProof/>
            <w:webHidden/>
          </w:rPr>
        </w:r>
        <w:r>
          <w:rPr>
            <w:noProof/>
            <w:webHidden/>
          </w:rPr>
          <w:fldChar w:fldCharType="separate"/>
        </w:r>
        <w:r w:rsidR="00220F3D">
          <w:rPr>
            <w:noProof/>
            <w:webHidden/>
          </w:rPr>
          <w:t>55</w:t>
        </w:r>
        <w:r>
          <w:rPr>
            <w:noProof/>
            <w:webHidden/>
          </w:rPr>
          <w:fldChar w:fldCharType="end"/>
        </w:r>
      </w:hyperlink>
    </w:p>
    <w:p w14:paraId="782D0AD9" w14:textId="013B497F" w:rsidR="00FD2102" w:rsidRDefault="00FD2102">
      <w:pPr>
        <w:pStyle w:val="TOC2"/>
        <w:rPr>
          <w:rFonts w:asciiTheme="minorHAnsi" w:eastAsiaTheme="minorEastAsia" w:hAnsiTheme="minorHAnsi" w:cstheme="minorBidi"/>
          <w:bCs w:val="0"/>
          <w:noProof/>
          <w:kern w:val="2"/>
          <w:lang w:val="en-CA" w:eastAsia="en-CA"/>
          <w14:ligatures w14:val="standardContextual"/>
        </w:rPr>
      </w:pPr>
      <w:hyperlink w:anchor="_Toc136865121" w:history="1">
        <w:r w:rsidRPr="004E2E55">
          <w:rPr>
            <w:rStyle w:val="Hyperlink"/>
            <w:noProof/>
          </w:rPr>
          <w:t>Bibliography</w:t>
        </w:r>
        <w:r>
          <w:rPr>
            <w:noProof/>
            <w:webHidden/>
          </w:rPr>
          <w:tab/>
        </w:r>
        <w:r>
          <w:rPr>
            <w:noProof/>
            <w:webHidden/>
          </w:rPr>
          <w:fldChar w:fldCharType="begin"/>
        </w:r>
        <w:r>
          <w:rPr>
            <w:noProof/>
            <w:webHidden/>
          </w:rPr>
          <w:instrText xml:space="preserve"> PAGEREF _Toc136865121 \h </w:instrText>
        </w:r>
        <w:r>
          <w:rPr>
            <w:noProof/>
            <w:webHidden/>
          </w:rPr>
        </w:r>
        <w:r>
          <w:rPr>
            <w:noProof/>
            <w:webHidden/>
          </w:rPr>
          <w:fldChar w:fldCharType="separate"/>
        </w:r>
        <w:r w:rsidR="00220F3D">
          <w:rPr>
            <w:noProof/>
            <w:webHidden/>
          </w:rPr>
          <w:t>55</w:t>
        </w:r>
        <w:r>
          <w:rPr>
            <w:noProof/>
            <w:webHidden/>
          </w:rPr>
          <w:fldChar w:fldCharType="end"/>
        </w:r>
      </w:hyperlink>
    </w:p>
    <w:p w14:paraId="1269BDAB" w14:textId="73061533" w:rsidR="001B4CA6" w:rsidRPr="00BB3D77" w:rsidRDefault="00362E1F" w:rsidP="00EE7500">
      <w:pPr>
        <w:sectPr w:rsidR="001B4CA6" w:rsidRPr="00BB3D77" w:rsidSect="00F67022">
          <w:footerReference w:type="even" r:id="rId12"/>
          <w:footerReference w:type="default" r:id="rId13"/>
          <w:footerReference w:type="first" r:id="rId14"/>
          <w:type w:val="continuous"/>
          <w:pgSz w:w="12240" w:h="15840"/>
          <w:pgMar w:top="1440" w:right="1440" w:bottom="1440" w:left="1440" w:header="709" w:footer="709" w:gutter="0"/>
          <w:pgNumType w:start="1"/>
          <w:cols w:space="708"/>
          <w:docGrid w:linePitch="360"/>
        </w:sectPr>
      </w:pPr>
      <w:r w:rsidRPr="00BB3D77">
        <w:rPr>
          <w:rFonts w:eastAsia="Calibri"/>
          <w:b/>
          <w:color w:val="00B3F0"/>
          <w:sz w:val="44"/>
          <w:szCs w:val="44"/>
        </w:rPr>
        <w:fldChar w:fldCharType="end"/>
      </w:r>
      <w:bookmarkStart w:id="4" w:name="_Toc32499044"/>
      <w:bookmarkEnd w:id="1"/>
    </w:p>
    <w:p w14:paraId="3A331EF7" w14:textId="0F64A1C6" w:rsidR="00EF02A3" w:rsidRPr="00BB3D77" w:rsidRDefault="00EF02A3" w:rsidP="00091BDD">
      <w:pPr>
        <w:pStyle w:val="Heading1"/>
      </w:pPr>
      <w:bookmarkStart w:id="5" w:name="_Toc136865072"/>
      <w:bookmarkEnd w:id="4"/>
      <w:r w:rsidRPr="00BB3D77">
        <w:lastRenderedPageBreak/>
        <w:t>Executive Summary</w:t>
      </w:r>
      <w:bookmarkEnd w:id="5"/>
    </w:p>
    <w:p w14:paraId="581CDFC7" w14:textId="641C560A" w:rsidR="002049E1" w:rsidRPr="00BB3D77" w:rsidRDefault="002049E1" w:rsidP="0042477C">
      <w:pPr>
        <w:spacing w:line="360" w:lineRule="auto"/>
      </w:pPr>
      <w:r w:rsidRPr="00BB3D77">
        <w:t xml:space="preserve">The National Aboriginal Capital Corporations Association (NACCA) is a network of </w:t>
      </w:r>
      <w:r w:rsidR="006E748D">
        <w:t>Indigenous Financial Institutions</w:t>
      </w:r>
      <w:r w:rsidRPr="00BB3D77">
        <w:t xml:space="preserve"> (</w:t>
      </w:r>
      <w:r w:rsidR="006E748D">
        <w:t>IFI</w:t>
      </w:r>
      <w:r w:rsidRPr="00BB3D77">
        <w:t xml:space="preserve">s) dedicated to promoting economic growth for Indigenous peoples in Canada. Since its inception, the </w:t>
      </w:r>
      <w:r w:rsidR="006E748D">
        <w:t>IFI</w:t>
      </w:r>
      <w:r w:rsidRPr="00BB3D77">
        <w:t xml:space="preserve"> network has provided 50,000 loans, totaling </w:t>
      </w:r>
      <w:r w:rsidR="002E2665">
        <w:t>over</w:t>
      </w:r>
      <w:r w:rsidR="002E2665" w:rsidRPr="00BB3D77">
        <w:t xml:space="preserve"> </w:t>
      </w:r>
      <w:r w:rsidRPr="00BB3D77">
        <w:t>$3 billion, to businesses owned by First Nation, Métis, and Inuit people.</w:t>
      </w:r>
    </w:p>
    <w:p w14:paraId="66C1A7B6" w14:textId="2F33C99A" w:rsidR="002049E1" w:rsidRPr="00BB3D77" w:rsidRDefault="002049E1" w:rsidP="0042477C">
      <w:pPr>
        <w:spacing w:line="360" w:lineRule="auto"/>
      </w:pPr>
      <w:r w:rsidRPr="00BB3D77">
        <w:t xml:space="preserve">To better understand the broader economic and social impacts of </w:t>
      </w:r>
      <w:r w:rsidR="006E748D">
        <w:t>IFI</w:t>
      </w:r>
      <w:r w:rsidRPr="00BB3D77">
        <w:t xml:space="preserve">s, NACCA commissioned </w:t>
      </w:r>
      <w:r w:rsidR="002E2665">
        <w:t>t</w:t>
      </w:r>
      <w:r w:rsidRPr="00BB3D77">
        <w:t xml:space="preserve">he Conference Board of Canada to assess core data representing </w:t>
      </w:r>
      <w:r w:rsidR="002E2665">
        <w:t>a sizable share of</w:t>
      </w:r>
      <w:r w:rsidR="009C6F90">
        <w:t xml:space="preserve"> </w:t>
      </w:r>
      <w:r w:rsidRPr="00BB3D77">
        <w:t xml:space="preserve">the </w:t>
      </w:r>
      <w:r w:rsidR="006E748D">
        <w:t>IFI</w:t>
      </w:r>
      <w:r w:rsidRPr="00BB3D77">
        <w:t xml:space="preserve"> ecosystem’s lending and funding activities</w:t>
      </w:r>
      <w:r w:rsidR="009C6F90">
        <w:t>.</w:t>
      </w:r>
      <w:r w:rsidRPr="00BB3D77">
        <w:t xml:space="preserve"> </w:t>
      </w:r>
      <w:r w:rsidR="009C6F90">
        <w:t xml:space="preserve">The following assessment reports on impacts tied to the NACCA-supported </w:t>
      </w:r>
      <w:r w:rsidR="009C6F90" w:rsidRPr="009C6F90">
        <w:t>Aboriginal Business Financing Program (ABFP) and Aboriginal Developmental Lending Assistance (ADLA)</w:t>
      </w:r>
      <w:r w:rsidR="009C6F90">
        <w:t xml:space="preserve"> </w:t>
      </w:r>
      <w:r w:rsidRPr="00BB3D77">
        <w:t>from 2016 to 2021. The assessment capture</w:t>
      </w:r>
      <w:r w:rsidR="009C6F90">
        <w:t>s</w:t>
      </w:r>
      <w:r w:rsidRPr="00BB3D77">
        <w:t xml:space="preserve"> </w:t>
      </w:r>
      <w:r w:rsidR="006E748D">
        <w:t>IFI</w:t>
      </w:r>
      <w:r w:rsidRPr="00BB3D77">
        <w:t xml:space="preserve"> loans, non-repayable government contributions, other commercial loans, and client equity collectively invested in Indigenous-owned businesses</w:t>
      </w:r>
      <w:r w:rsidR="009C6F90">
        <w:t xml:space="preserve"> through these </w:t>
      </w:r>
      <w:r w:rsidR="00970917">
        <w:t xml:space="preserve">two </w:t>
      </w:r>
      <w:r w:rsidR="009C6F90">
        <w:t>programs</w:t>
      </w:r>
      <w:r w:rsidRPr="00BB3D77">
        <w:t>.</w:t>
      </w:r>
    </w:p>
    <w:p w14:paraId="2E4BE9D4" w14:textId="64093969" w:rsidR="002049E1" w:rsidRPr="00BB3D77" w:rsidRDefault="002049E1" w:rsidP="0042477C">
      <w:pPr>
        <w:spacing w:line="360" w:lineRule="auto"/>
      </w:pPr>
      <w:r w:rsidRPr="00BB3D77">
        <w:t xml:space="preserve">The assessment revealed that a total investment of $813 million </w:t>
      </w:r>
      <w:r w:rsidR="00970917">
        <w:t>tied</w:t>
      </w:r>
      <w:r w:rsidRPr="00BB3D77">
        <w:t xml:space="preserve"> </w:t>
      </w:r>
      <w:r w:rsidR="00970917">
        <w:t xml:space="preserve">to </w:t>
      </w:r>
      <w:r w:rsidRPr="00BB3D77">
        <w:t xml:space="preserve">the </w:t>
      </w:r>
      <w:r w:rsidR="00970917">
        <w:t>ABFP and ADLA programs</w:t>
      </w:r>
      <w:r w:rsidRPr="00BB3D77">
        <w:t xml:space="preserve"> during this period had a total GDP impact of more than $876 million</w:t>
      </w:r>
      <w:bookmarkStart w:id="6" w:name="_Hlk135912809"/>
      <w:r w:rsidRPr="00BB3D77">
        <w:t xml:space="preserve">. For every $1 </w:t>
      </w:r>
      <w:r w:rsidR="006E748D">
        <w:t>IFI</w:t>
      </w:r>
      <w:r w:rsidRPr="00BB3D77">
        <w:t>s lent, the economy produced $3.6 in total GDP</w:t>
      </w:r>
      <w:r w:rsidR="0042477C">
        <w:t xml:space="preserve"> – thanks in part to the </w:t>
      </w:r>
      <w:r w:rsidR="004450E2">
        <w:t xml:space="preserve">commercial </w:t>
      </w:r>
      <w:r w:rsidR="0042477C">
        <w:t xml:space="preserve">co-investments, client contributions, and matching government funds </w:t>
      </w:r>
      <w:r w:rsidR="006E748D">
        <w:t>IFI</w:t>
      </w:r>
      <w:r w:rsidR="0042477C">
        <w:t>s brought together</w:t>
      </w:r>
      <w:r w:rsidRPr="00BB3D77">
        <w:t>.</w:t>
      </w:r>
      <w:bookmarkEnd w:id="6"/>
      <w:r w:rsidRPr="00BB3D77">
        <w:t xml:space="preserve"> The total investment also had a total employment impact of more than 12,100 full-time jobs and a total wage impact of more than $514 million. </w:t>
      </w:r>
    </w:p>
    <w:p w14:paraId="31563565" w14:textId="3C7F6AE9" w:rsidR="002049E1" w:rsidRPr="00BB3D77" w:rsidRDefault="002049E1" w:rsidP="0042477C">
      <w:pPr>
        <w:spacing w:line="360" w:lineRule="auto"/>
      </w:pPr>
      <w:r w:rsidRPr="00BB3D77">
        <w:t>The assessment explore</w:t>
      </w:r>
      <w:r w:rsidR="004C65C7">
        <w:t>s</w:t>
      </w:r>
      <w:r w:rsidRPr="00BB3D77">
        <w:t xml:space="preserve"> the social context of these economic impacts, including an analysis of community well-being, income equality, and a simulation model of </w:t>
      </w:r>
      <w:r w:rsidR="006E748D">
        <w:t>IFI</w:t>
      </w:r>
      <w:r w:rsidRPr="00BB3D77">
        <w:t xml:space="preserve">-driven impacts on the food security, health, and housing satisfaction of Indigenous workers. </w:t>
      </w:r>
    </w:p>
    <w:p w14:paraId="534B3331" w14:textId="729E8DD3" w:rsidR="002049E1" w:rsidRPr="00BB3D77" w:rsidRDefault="002049E1" w:rsidP="0042477C">
      <w:pPr>
        <w:spacing w:line="360" w:lineRule="auto"/>
      </w:pPr>
      <w:r w:rsidRPr="00BB3D77">
        <w:t xml:space="preserve">The analysis of </w:t>
      </w:r>
      <w:r w:rsidR="006E748D">
        <w:t>IFI</w:t>
      </w:r>
      <w:r w:rsidRPr="00BB3D77">
        <w:t xml:space="preserve"> client communities using insights from the Community Wellbeing (CWB) index </w:t>
      </w:r>
      <w:r w:rsidR="001D69C7">
        <w:t xml:space="preserve">and ABFP/ADLA programs </w:t>
      </w:r>
      <w:r w:rsidRPr="00BB3D77">
        <w:t>reveal</w:t>
      </w:r>
      <w:r w:rsidR="004C65C7">
        <w:t>s</w:t>
      </w:r>
      <w:r w:rsidRPr="00BB3D77">
        <w:t xml:space="preserve"> that the average </w:t>
      </w:r>
      <w:r w:rsidR="006E748D">
        <w:t>IFI</w:t>
      </w:r>
      <w:r w:rsidRPr="00BB3D77">
        <w:t xml:space="preserve"> client community is located slightly above the average 2016 CWB score for First Nations (at 59 versus 58.4). The analysis also indicat</w:t>
      </w:r>
      <w:r w:rsidR="004C65C7">
        <w:t>es</w:t>
      </w:r>
      <w:r w:rsidRPr="00BB3D77">
        <w:t xml:space="preserve"> that CWB scores increased for 87 per cent of the total population across relevant First Nation and Inuit communities between 1996 and 2016. 50 per cent exhibited increases greater than 5 points, and 11 per cent exhibited increases greater than 10 points.</w:t>
      </w:r>
    </w:p>
    <w:p w14:paraId="2703F2CF" w14:textId="3C0C5ADA" w:rsidR="00A57DC0" w:rsidRDefault="006E748D" w:rsidP="00A57DC0">
      <w:pPr>
        <w:spacing w:line="360" w:lineRule="auto"/>
      </w:pPr>
      <w:r>
        <w:t>IFI</w:t>
      </w:r>
      <w:r w:rsidR="00A57DC0">
        <w:t xml:space="preserve">s contribute to income equality by supporting various industries where Indigenous workers, on average, earn more than the reported mean annual employment income for Indigenous peoples ($42k) in the 2021 census. Additionally, out of the 146 industries directly </w:t>
      </w:r>
      <w:r w:rsidR="004C65C7">
        <w:t>impacted</w:t>
      </w:r>
      <w:r w:rsidR="00A57DC0">
        <w:t xml:space="preserve"> by </w:t>
      </w:r>
      <w:r>
        <w:lastRenderedPageBreak/>
        <w:t>IFI</w:t>
      </w:r>
      <w:r w:rsidR="00A57DC0">
        <w:t>-driven investments</w:t>
      </w:r>
      <w:r w:rsidR="00D515E4">
        <w:t xml:space="preserve"> tied to ABFP/ADLA</w:t>
      </w:r>
      <w:r w:rsidR="00A57DC0">
        <w:t>, 69 percent (52 industries) pay their average Indigenous worker an annual employment income higher than the mean income for non-Indigenous workers ($50k) reported in the same census.</w:t>
      </w:r>
    </w:p>
    <w:p w14:paraId="57C76943" w14:textId="02B87B39" w:rsidR="00A57DC0" w:rsidRPr="00BB3D77" w:rsidRDefault="00A57DC0" w:rsidP="00A57DC0">
      <w:pPr>
        <w:spacing w:line="360" w:lineRule="auto"/>
      </w:pPr>
      <w:r>
        <w:t xml:space="preserve">However, the analysis also shows that </w:t>
      </w:r>
      <w:r w:rsidR="006E748D">
        <w:t>IFI</w:t>
      </w:r>
      <w:r>
        <w:t xml:space="preserve"> investments </w:t>
      </w:r>
      <w:r w:rsidR="00D515E4">
        <w:t xml:space="preserve">through ABFP/ADLA </w:t>
      </w:r>
      <w:r>
        <w:t xml:space="preserve">are concentrated in some industries where average incomes are lower than the overall national average reported in the 2021 census. While this limits the impact </w:t>
      </w:r>
      <w:r w:rsidR="009F1F17">
        <w:t>such</w:t>
      </w:r>
      <w:r>
        <w:t xml:space="preserve"> investments </w:t>
      </w:r>
      <w:r w:rsidR="009F1F17">
        <w:t>may have</w:t>
      </w:r>
      <w:r>
        <w:t xml:space="preserve"> </w:t>
      </w:r>
      <w:r w:rsidR="009F1F17">
        <w:t xml:space="preserve">on </w:t>
      </w:r>
      <w:r w:rsidRPr="00BB3D77">
        <w:t>clos</w:t>
      </w:r>
      <w:r w:rsidR="009F1F17">
        <w:t>ing</w:t>
      </w:r>
      <w:r w:rsidRPr="00BB3D77">
        <w:t xml:space="preserve"> the income gap between Indigenous and non-Indigenous workers</w:t>
      </w:r>
      <w:r>
        <w:t>, it</w:t>
      </w:r>
      <w:r w:rsidR="001D62F0">
        <w:t xml:space="preserve"> </w:t>
      </w:r>
      <w:r w:rsidR="009F1F17">
        <w:t>presents</w:t>
      </w:r>
      <w:r w:rsidR="001D62F0">
        <w:t xml:space="preserve"> an o</w:t>
      </w:r>
      <w:r>
        <w:t>pportunity</w:t>
      </w:r>
      <w:r w:rsidR="001D62F0">
        <w:t xml:space="preserve"> </w:t>
      </w:r>
      <w:r w:rsidR="009F1F17">
        <w:t>for</w:t>
      </w:r>
      <w:r w:rsidR="001D62F0">
        <w:t xml:space="preserve"> </w:t>
      </w:r>
      <w:r w:rsidR="009F1F17">
        <w:t xml:space="preserve">the </w:t>
      </w:r>
      <w:r w:rsidR="006E748D">
        <w:t>IFI</w:t>
      </w:r>
      <w:r w:rsidR="001D62F0">
        <w:t xml:space="preserve"> </w:t>
      </w:r>
      <w:r>
        <w:t>network</w:t>
      </w:r>
      <w:r w:rsidR="001D62F0">
        <w:t xml:space="preserve"> to expand its lending and </w:t>
      </w:r>
      <w:r w:rsidR="00D515E4">
        <w:t xml:space="preserve">other </w:t>
      </w:r>
      <w:r w:rsidR="001D62F0">
        <w:t>client supports</w:t>
      </w:r>
      <w:r>
        <w:t>.</w:t>
      </w:r>
    </w:p>
    <w:p w14:paraId="66D82FBE" w14:textId="5CE36FD3" w:rsidR="002049E1" w:rsidRPr="00BB3D77" w:rsidRDefault="002049E1" w:rsidP="0042477C">
      <w:pPr>
        <w:spacing w:line="360" w:lineRule="auto"/>
      </w:pPr>
      <w:r w:rsidRPr="00BB3D77">
        <w:t xml:space="preserve">The highest average paying jobs that </w:t>
      </w:r>
      <w:r w:rsidR="006E748D">
        <w:t>IFI</w:t>
      </w:r>
      <w:r w:rsidRPr="00BB3D77">
        <w:t xml:space="preserve"> directed investments </w:t>
      </w:r>
      <w:r w:rsidR="00D515E4">
        <w:t xml:space="preserve">through ABFP/ADLA </w:t>
      </w:r>
      <w:r w:rsidRPr="00BB3D77">
        <w:t>helped to create from 2016 to 2021 all involved natural resource sectors and utilities including mining, oil and gas, and hydro generation</w:t>
      </w:r>
      <w:r w:rsidR="009F1F17">
        <w:t xml:space="preserve"> (but excluding agriculture and fisheries)</w:t>
      </w:r>
      <w:r w:rsidRPr="00BB3D77">
        <w:t xml:space="preserve">. Not surprisingly, </w:t>
      </w:r>
      <w:r w:rsidR="006E748D">
        <w:t>IFI</w:t>
      </w:r>
      <w:r w:rsidRPr="00BB3D77">
        <w:t>s are working with client communities to increase their participation in and influence over these economic sectors and their supply chains.</w:t>
      </w:r>
    </w:p>
    <w:p w14:paraId="08CF29D0" w14:textId="7774D519" w:rsidR="002049E1" w:rsidRPr="00BB3D77" w:rsidRDefault="002049E1" w:rsidP="0042477C">
      <w:pPr>
        <w:spacing w:line="360" w:lineRule="auto"/>
      </w:pPr>
      <w:r w:rsidRPr="00BB3D77">
        <w:t xml:space="preserve">The assessment also reports the results of a supporting simulation model designed to estimate the relationship between </w:t>
      </w:r>
      <w:r w:rsidR="006E748D">
        <w:t>IFI</w:t>
      </w:r>
      <w:r w:rsidRPr="00BB3D77">
        <w:t xml:space="preserve">-driven employment and indicators of food security, health, mental health, and housing satisfaction for Indigenous peoples living off-reserve. The simulation model reports positive impacts for the types of direct jobs </w:t>
      </w:r>
      <w:r w:rsidR="006E748D">
        <w:t>IFI</w:t>
      </w:r>
      <w:r w:rsidRPr="00BB3D77">
        <w:t xml:space="preserve">-driven investments </w:t>
      </w:r>
      <w:r w:rsidR="00A9287C">
        <w:t>create with support from</w:t>
      </w:r>
      <w:r w:rsidR="005239DB">
        <w:t xml:space="preserve"> </w:t>
      </w:r>
      <w:r w:rsidR="00A9287C">
        <w:t xml:space="preserve">the </w:t>
      </w:r>
      <w:r w:rsidR="005239DB">
        <w:t xml:space="preserve">ABFP and ADLA </w:t>
      </w:r>
      <w:r w:rsidR="00A9287C">
        <w:t>programs</w:t>
      </w:r>
      <w:r w:rsidRPr="00BB3D77">
        <w:t xml:space="preserve">. Individuals living off-reserve with employment incomes at the levels of </w:t>
      </w:r>
      <w:r w:rsidR="006E748D">
        <w:t>IFI</w:t>
      </w:r>
      <w:r w:rsidRPr="00BB3D77">
        <w:t>-driven direct full-time jobs report consistently higher levels of food security, self-rated health and mental health, and housing satisfaction compared to individuals from similar backgrounds who are unemployed.</w:t>
      </w:r>
    </w:p>
    <w:p w14:paraId="0E83BAD3" w14:textId="2D6FE030" w:rsidR="002049E1" w:rsidRPr="00BB3D77" w:rsidRDefault="002049E1" w:rsidP="002049E1">
      <w:pPr>
        <w:pStyle w:val="Body"/>
      </w:pPr>
      <w:r w:rsidRPr="00BB3D77">
        <w:t xml:space="preserve">Lastly, the assessment provides additional context to showcase how </w:t>
      </w:r>
      <w:r w:rsidR="006E748D">
        <w:t>IFI</w:t>
      </w:r>
      <w:r w:rsidRPr="00BB3D77">
        <w:t xml:space="preserve">s make a difference. Fifteen case illustrations included in the report reveal how </w:t>
      </w:r>
      <w:r w:rsidR="006E748D">
        <w:t>IFI</w:t>
      </w:r>
      <w:r w:rsidRPr="00BB3D77">
        <w:t xml:space="preserve"> investments </w:t>
      </w:r>
      <w:r w:rsidR="005239DB">
        <w:t xml:space="preserve">tied to the ABFP and ADLA programs </w:t>
      </w:r>
      <w:r w:rsidR="00512A50">
        <w:t xml:space="preserve">directly </w:t>
      </w:r>
      <w:r w:rsidRPr="00BB3D77">
        <w:t xml:space="preserve">contributed to strengthening Indigenous food security, healthcare, and housing through the specific industries and businesses they invested in. From 2016 to 2021 </w:t>
      </w:r>
      <w:r w:rsidR="00A9287C">
        <w:t xml:space="preserve">these </w:t>
      </w:r>
      <w:r w:rsidR="006E748D">
        <w:t>IFI</w:t>
      </w:r>
      <w:r w:rsidRPr="00BB3D77">
        <w:t xml:space="preserve">-driven investments had a direct GDP impact of more than $212 million on various Indigenous led food production and food services industries; more than $31 million on various health and wellness sectors; and more than $126 million on Indigenous led residential construction and associated sectors. </w:t>
      </w:r>
    </w:p>
    <w:p w14:paraId="6EA2F536" w14:textId="4C869F03" w:rsidR="002049E1" w:rsidRPr="00BB3D77" w:rsidRDefault="002049E1" w:rsidP="002049E1">
      <w:pPr>
        <w:pStyle w:val="Body"/>
      </w:pPr>
      <w:r w:rsidRPr="00BB3D77">
        <w:t xml:space="preserve">From across a range of diverse industries, the </w:t>
      </w:r>
      <w:r w:rsidR="006E748D">
        <w:t>IFI</w:t>
      </w:r>
      <w:r w:rsidRPr="00BB3D77">
        <w:t xml:space="preserve">s we showcase helped their clients overcome cultural and institutional barriers to accessing capital. In this regard they looked at their clients’ </w:t>
      </w:r>
      <w:r w:rsidRPr="00BB3D77">
        <w:lastRenderedPageBreak/>
        <w:t>character, vision, and community context. This approach, which entails meeting people where they live, strengthens their clients’ trust in financial services and helps sharpen their focus on outcomes. It also strengthens their clients’ confidence and belief in themselves.</w:t>
      </w:r>
    </w:p>
    <w:p w14:paraId="1A2E6598" w14:textId="77777777" w:rsidR="00636A46" w:rsidRPr="00BB3D77" w:rsidRDefault="00636A46" w:rsidP="00091BDD">
      <w:pPr>
        <w:pStyle w:val="Heading1"/>
      </w:pPr>
      <w:r w:rsidRPr="00BB3D77">
        <w:br w:type="page"/>
      </w:r>
    </w:p>
    <w:p w14:paraId="763D1976" w14:textId="16AA3134" w:rsidR="00314B3A" w:rsidRPr="00BB3D77" w:rsidRDefault="00EA213D" w:rsidP="00091BDD">
      <w:pPr>
        <w:pStyle w:val="Heading1"/>
      </w:pPr>
      <w:bookmarkStart w:id="7" w:name="_Toc136865073"/>
      <w:r w:rsidRPr="00BB3D77">
        <w:lastRenderedPageBreak/>
        <w:t>Introduction</w:t>
      </w:r>
      <w:bookmarkEnd w:id="7"/>
    </w:p>
    <w:p w14:paraId="768D310C" w14:textId="0448B948" w:rsidR="00106CFB" w:rsidRPr="00BB3D77" w:rsidRDefault="00A05C23" w:rsidP="00C8327F">
      <w:pPr>
        <w:pStyle w:val="Body"/>
      </w:pPr>
      <w:r w:rsidRPr="00BB3D77">
        <w:t xml:space="preserve">Developmental finance is a general term for approaches </w:t>
      </w:r>
      <w:r w:rsidR="00264BD9" w:rsidRPr="00BB3D77">
        <w:t>that</w:t>
      </w:r>
      <w:r w:rsidRPr="00BB3D77">
        <w:t xml:space="preserve"> specialize in serving</w:t>
      </w:r>
      <w:r w:rsidR="00714868" w:rsidRPr="00BB3D77">
        <w:t xml:space="preserve"> often marginalized</w:t>
      </w:r>
      <w:r w:rsidRPr="00BB3D77">
        <w:t xml:space="preserve"> entrepreneurs and SMEs </w:t>
      </w:r>
      <w:r w:rsidR="00264BD9" w:rsidRPr="00BB3D77">
        <w:t>which</w:t>
      </w:r>
      <w:r w:rsidR="00AA752C" w:rsidRPr="00BB3D77">
        <w:t xml:space="preserve"> </w:t>
      </w:r>
      <w:r w:rsidR="00E97EB9" w:rsidRPr="00BB3D77">
        <w:t>mainstream</w:t>
      </w:r>
      <w:r w:rsidRPr="00BB3D77">
        <w:t xml:space="preserve"> </w:t>
      </w:r>
      <w:r w:rsidR="00E97EB9" w:rsidRPr="00BB3D77">
        <w:t>lenders</w:t>
      </w:r>
      <w:r w:rsidR="00F6101E" w:rsidRPr="00BB3D77">
        <w:t xml:space="preserve"> typically pass over</w:t>
      </w:r>
      <w:r w:rsidRPr="00BB3D77">
        <w:t xml:space="preserve">. The </w:t>
      </w:r>
      <w:r w:rsidR="00264BD9" w:rsidRPr="00BB3D77">
        <w:t>key</w:t>
      </w:r>
      <w:r w:rsidRPr="00BB3D77">
        <w:t xml:space="preserve"> impediment</w:t>
      </w:r>
      <w:r w:rsidR="00264BD9" w:rsidRPr="00BB3D77">
        <w:t>s</w:t>
      </w:r>
      <w:r w:rsidRPr="00BB3D77">
        <w:t xml:space="preserve"> that developmental finance seeks to work around </w:t>
      </w:r>
      <w:r w:rsidR="00264BD9" w:rsidRPr="00BB3D77">
        <w:t>are</w:t>
      </w:r>
      <w:r w:rsidRPr="00BB3D77">
        <w:t xml:space="preserve"> limited client equity</w:t>
      </w:r>
      <w:r w:rsidR="00264BD9" w:rsidRPr="00BB3D77">
        <w:t xml:space="preserve"> and the risks attributed to </w:t>
      </w:r>
      <w:r w:rsidR="00714868" w:rsidRPr="00BB3D77">
        <w:t>marginalized</w:t>
      </w:r>
      <w:r w:rsidR="00264BD9" w:rsidRPr="00BB3D77">
        <w:t xml:space="preserve"> entrepreneurs and SMEs</w:t>
      </w:r>
      <w:r w:rsidRPr="00BB3D77">
        <w:t xml:space="preserve">. Developmental finance often involves specialized risk assessment, </w:t>
      </w:r>
      <w:r w:rsidR="00F6101E" w:rsidRPr="00BB3D77">
        <w:t xml:space="preserve">relationship building, </w:t>
      </w:r>
      <w:r w:rsidRPr="00BB3D77">
        <w:t>business support, capacity building, and (though not exclusively) government-assisted financing</w:t>
      </w:r>
      <w:r w:rsidR="00714868" w:rsidRPr="00BB3D77">
        <w:t xml:space="preserve"> such as non-repayable contributions</w:t>
      </w:r>
      <w:r w:rsidRPr="00BB3D77">
        <w:t xml:space="preserve">. In more recent years, this approach has become associated with global trends in microfinance and a broader social finance movement that measures businesses, not simply in terms of their net worth and returns to shareholders, but also in terms of their social value to communities and society. That broader perspective of value resonates with many of Canada’s </w:t>
      </w:r>
      <w:r w:rsidR="00DE237C" w:rsidRPr="00BB3D77">
        <w:t>Indigenous</w:t>
      </w:r>
      <w:r w:rsidRPr="00BB3D77">
        <w:t xml:space="preserve"> entrepreneurs, SMEs, and their communities and customers. It also informs the mission of many </w:t>
      </w:r>
      <w:r w:rsidR="006E748D">
        <w:t>IFI</w:t>
      </w:r>
      <w:r w:rsidR="007C2374" w:rsidRPr="00BB3D77">
        <w:t>s</w:t>
      </w:r>
      <w:r w:rsidRPr="00BB3D77">
        <w:t xml:space="preserve"> </w:t>
      </w:r>
      <w:r w:rsidR="00FE26CE" w:rsidRPr="00BB3D77">
        <w:t xml:space="preserve">and helps to define the purpose of loans and non-repayable contributions </w:t>
      </w:r>
      <w:r w:rsidR="00E97EB9" w:rsidRPr="00BB3D77">
        <w:t>flowing through</w:t>
      </w:r>
      <w:r w:rsidR="00FE26CE" w:rsidRPr="00BB3D77">
        <w:t xml:space="preserve"> the</w:t>
      </w:r>
      <w:r w:rsidR="00BC6A6F">
        <w:t xml:space="preserve">ir </w:t>
      </w:r>
      <w:r w:rsidR="00FE26CE" w:rsidRPr="00BB3D77">
        <w:t>ecosystem</w:t>
      </w:r>
      <w:r w:rsidRPr="00BB3D77">
        <w:t>.</w:t>
      </w:r>
      <w:r w:rsidR="00106CFB" w:rsidRPr="00BB3D77">
        <w:t xml:space="preserve">   </w:t>
      </w:r>
    </w:p>
    <w:p w14:paraId="21696C4B" w14:textId="25C98767" w:rsidR="00434E23" w:rsidRPr="00BB3D77" w:rsidRDefault="003005E7" w:rsidP="00C8327F">
      <w:pPr>
        <w:pStyle w:val="Body"/>
      </w:pPr>
      <w:r w:rsidRPr="00BB3D77">
        <w:t xml:space="preserve">To estimate the broader economic and social impacts of </w:t>
      </w:r>
      <w:r w:rsidR="006E748D">
        <w:t>IFI</w:t>
      </w:r>
      <w:r w:rsidR="007C2374" w:rsidRPr="00BB3D77">
        <w:t>s</w:t>
      </w:r>
      <w:r w:rsidR="003212AB" w:rsidRPr="00BB3D77">
        <w:t xml:space="preserve"> we look at </w:t>
      </w:r>
      <w:r w:rsidR="00BC6A6F">
        <w:t xml:space="preserve">a significant portion of </w:t>
      </w:r>
      <w:r w:rsidR="003212AB" w:rsidRPr="00BB3D77">
        <w:t xml:space="preserve">investments </w:t>
      </w:r>
      <w:r w:rsidR="00BC6A6F">
        <w:t>tied to</w:t>
      </w:r>
      <w:r w:rsidR="00CC571A">
        <w:t xml:space="preserve"> the NACCA-supported</w:t>
      </w:r>
      <w:r w:rsidR="00CC571A" w:rsidRPr="00BB3D77">
        <w:t xml:space="preserve"> ABFP and ADLA programs</w:t>
      </w:r>
      <w:r w:rsidR="00076BDC" w:rsidRPr="00BB3D77">
        <w:rPr>
          <w:rStyle w:val="FootnoteReference"/>
        </w:rPr>
        <w:footnoteReference w:id="2"/>
      </w:r>
      <w:r w:rsidR="00CC571A">
        <w:t>, including</w:t>
      </w:r>
      <w:r w:rsidR="00BC6A6F">
        <w:t xml:space="preserve"> </w:t>
      </w:r>
      <w:r w:rsidR="006E748D">
        <w:t>IFI</w:t>
      </w:r>
      <w:r w:rsidR="003212AB" w:rsidRPr="00BB3D77">
        <w:t xml:space="preserve"> lending, non-repayable contributions, other commercial lending, and client equity. </w:t>
      </w:r>
    </w:p>
    <w:p w14:paraId="19BE4E97" w14:textId="77777777" w:rsidR="00220F3D" w:rsidRPr="00BB3D77" w:rsidRDefault="008B009D" w:rsidP="004725DA">
      <w:pPr>
        <w:pStyle w:val="Body"/>
      </w:pPr>
      <w:r w:rsidRPr="00BB3D77">
        <w:t xml:space="preserve">In </w:t>
      </w:r>
      <w:r w:rsidR="00FA1DFB" w:rsidRPr="00BB3D77">
        <w:fldChar w:fldCharType="begin"/>
      </w:r>
      <w:r w:rsidR="00FA1DFB" w:rsidRPr="00BB3D77">
        <w:instrText xml:space="preserve"> REF _Ref62123768 \h </w:instrText>
      </w:r>
      <w:r w:rsidR="00A05C23" w:rsidRPr="00BB3D77">
        <w:instrText xml:space="preserve"> \* MERGEFORMAT </w:instrText>
      </w:r>
      <w:r w:rsidR="00FA1DFB" w:rsidRPr="00BB3D77">
        <w:fldChar w:fldCharType="separate"/>
      </w:r>
    </w:p>
    <w:p w14:paraId="34D9BC8A" w14:textId="77777777" w:rsidR="00220F3D" w:rsidRPr="00BB3D77" w:rsidRDefault="00220F3D" w:rsidP="004725DA">
      <w:pPr>
        <w:pStyle w:val="Body"/>
      </w:pPr>
      <w:r w:rsidRPr="00BB3D77">
        <w:t xml:space="preserve">Aside from the gains they create in business growth and employment, </w:t>
      </w:r>
      <w:r>
        <w:t>IFI</w:t>
      </w:r>
      <w:r w:rsidRPr="00BB3D77">
        <w:t xml:space="preserve">s continue to break social barriers and social stereotypes that impede Indigenous entrepreneurship. Their mandates are socially expansive, to help Indigenous communities realize visions of better futures by helping grow the next generation of entrepreneurs and community leaders, often in rural and remote communities that stand to benefit the most. Character-based lending is frequently part of the </w:t>
      </w:r>
      <w:r>
        <w:t>IFI</w:t>
      </w:r>
      <w:r w:rsidRPr="00BB3D77">
        <w:t xml:space="preserve">s’ repertoire. Many get to know their clients at a deeper community level, which leads to more enduring relationships of trust-based lending that strengthens local entrepreneurship and social cohesion. </w:t>
      </w:r>
      <w:r w:rsidRPr="00BB3D77">
        <w:br w:type="page"/>
      </w:r>
    </w:p>
    <w:p w14:paraId="796BE0F6" w14:textId="72BD8E0A" w:rsidR="001777F5" w:rsidRPr="00BB3D77" w:rsidRDefault="00220F3D" w:rsidP="00C8327F">
      <w:pPr>
        <w:pStyle w:val="Body"/>
      </w:pPr>
      <w:r w:rsidRPr="00BB3D77">
        <w:t>Chapter 1</w:t>
      </w:r>
      <w:r w:rsidR="00FA1DFB" w:rsidRPr="00BB3D77">
        <w:fldChar w:fldCharType="end"/>
      </w:r>
      <w:r w:rsidR="00FE6871" w:rsidRPr="00BB3D77">
        <w:t xml:space="preserve"> of the report</w:t>
      </w:r>
      <w:r w:rsidR="00BF4FAF" w:rsidRPr="00BB3D77">
        <w:t>,</w:t>
      </w:r>
      <w:r w:rsidR="008B009D" w:rsidRPr="00BB3D77">
        <w:t xml:space="preserve"> we</w:t>
      </w:r>
      <w:r w:rsidR="003212AB" w:rsidRPr="00BB3D77">
        <w:t xml:space="preserve"> assess </w:t>
      </w:r>
      <w:r w:rsidR="00BC6A6F">
        <w:t xml:space="preserve">relevant </w:t>
      </w:r>
      <w:r w:rsidR="003212AB" w:rsidRPr="00BB3D77">
        <w:t xml:space="preserve">economic impacts. Our assessment interprets </w:t>
      </w:r>
      <w:r w:rsidR="002857A0" w:rsidRPr="00BB3D77">
        <w:t xml:space="preserve">five years of </w:t>
      </w:r>
      <w:r w:rsidR="003212AB" w:rsidRPr="00BB3D77">
        <w:t xml:space="preserve">data from </w:t>
      </w:r>
      <w:r w:rsidR="002857A0" w:rsidRPr="00BB3D77">
        <w:t xml:space="preserve">the ABFP and ADLA programs </w:t>
      </w:r>
      <w:r w:rsidR="003212AB" w:rsidRPr="00BB3D77">
        <w:t>with help from Statistics Canada’s input-output model of the Canadian economy. This approach allows us to make reasonable inferences about national level impacts and provides a useful framework for exploring patterns in Indigenous developmental finance.</w:t>
      </w:r>
      <w:r w:rsidR="007D5AC2" w:rsidRPr="00BB3D77">
        <w:t xml:space="preserve"> It provides a set of national indicators for the direct, indirect, and induced economic impacts of the </w:t>
      </w:r>
      <w:r w:rsidR="006E748D">
        <w:t>IFI</w:t>
      </w:r>
      <w:r w:rsidR="007D5AC2" w:rsidRPr="00BB3D77">
        <w:t xml:space="preserve"> ecosystem, including Gross Domestic Product (GDP), employment, and </w:t>
      </w:r>
      <w:r w:rsidR="002857A0" w:rsidRPr="00BB3D77">
        <w:t>labour income</w:t>
      </w:r>
      <w:r w:rsidR="007D5AC2" w:rsidRPr="00BB3D77">
        <w:t xml:space="preserve">. </w:t>
      </w:r>
    </w:p>
    <w:p w14:paraId="75B15994" w14:textId="63CDA270" w:rsidR="005C5A68" w:rsidRPr="00BB3D77" w:rsidRDefault="005C5A68" w:rsidP="00C8327F">
      <w:pPr>
        <w:pStyle w:val="Body"/>
      </w:pPr>
      <w:r w:rsidRPr="00BB3D77">
        <w:t>In Chapter 2 we take a</w:t>
      </w:r>
      <w:r w:rsidR="00445506" w:rsidRPr="00BB3D77">
        <w:t xml:space="preserve"> first look at the social dimensions of the communities </w:t>
      </w:r>
      <w:r w:rsidR="00EE285E" w:rsidRPr="00BB3D77">
        <w:t xml:space="preserve">where </w:t>
      </w:r>
      <w:r w:rsidR="006E748D">
        <w:t>IFI</w:t>
      </w:r>
      <w:r w:rsidR="006C2195" w:rsidRPr="00BB3D77">
        <w:t xml:space="preserve"> client businesses are located</w:t>
      </w:r>
      <w:r w:rsidR="00445506" w:rsidRPr="00BB3D77">
        <w:t>.</w:t>
      </w:r>
      <w:r w:rsidR="00EE285E" w:rsidRPr="00BB3D77">
        <w:t xml:space="preserve"> </w:t>
      </w:r>
      <w:r w:rsidR="006E51F3" w:rsidRPr="00BB3D77">
        <w:t xml:space="preserve">Our focus is on insights derived from </w:t>
      </w:r>
      <w:r w:rsidR="00D515E4">
        <w:t xml:space="preserve">the ABFP/ADLA programs and </w:t>
      </w:r>
      <w:r w:rsidR="00AC1FF8" w:rsidRPr="00BB3D77">
        <w:t xml:space="preserve">the Community Wellbeing </w:t>
      </w:r>
      <w:r w:rsidR="00894B17" w:rsidRPr="00BB3D77">
        <w:t>(CWB) i</w:t>
      </w:r>
      <w:r w:rsidR="00AC1FF8" w:rsidRPr="00BB3D77">
        <w:t xml:space="preserve">ndex </w:t>
      </w:r>
      <w:r w:rsidR="00DA3A8F" w:rsidRPr="00BB3D77">
        <w:t>maintained by Indigenous Services Canada.</w:t>
      </w:r>
      <w:r w:rsidR="00894B17" w:rsidRPr="00BB3D77">
        <w:t xml:space="preserve"> The CWB</w:t>
      </w:r>
      <w:r w:rsidR="00EE285E" w:rsidRPr="00BB3D77">
        <w:t xml:space="preserve"> </w:t>
      </w:r>
      <w:r w:rsidR="00894B17" w:rsidRPr="00BB3D77">
        <w:lastRenderedPageBreak/>
        <w:t>index</w:t>
      </w:r>
      <w:r w:rsidR="00294647" w:rsidRPr="00BB3D77">
        <w:t xml:space="preserve"> enables researchers to compare how </w:t>
      </w:r>
      <w:r w:rsidR="006E748D">
        <w:t>IFI</w:t>
      </w:r>
      <w:r w:rsidR="007D5AC2" w:rsidRPr="00BB3D77">
        <w:t xml:space="preserve"> client communities </w:t>
      </w:r>
      <w:r w:rsidR="00294647" w:rsidRPr="00BB3D77">
        <w:t xml:space="preserve">are developing in terms of </w:t>
      </w:r>
      <w:r w:rsidR="009724E2" w:rsidRPr="00BB3D77">
        <w:t>education, housing, labour market participation, and income measures.</w:t>
      </w:r>
      <w:r w:rsidR="00894B17" w:rsidRPr="00BB3D77">
        <w:t xml:space="preserve"> </w:t>
      </w:r>
      <w:r w:rsidR="00445506" w:rsidRPr="00BB3D77">
        <w:t xml:space="preserve">  </w:t>
      </w:r>
    </w:p>
    <w:p w14:paraId="518DC208" w14:textId="678BC6DE" w:rsidR="003F6A7A" w:rsidRPr="00BB3D77" w:rsidRDefault="008B009D" w:rsidP="003212AB">
      <w:pPr>
        <w:pStyle w:val="Body"/>
      </w:pPr>
      <w:r w:rsidRPr="00BB3D77">
        <w:t>In</w:t>
      </w:r>
      <w:r w:rsidR="005A744D" w:rsidRPr="00BB3D77">
        <w:t xml:space="preserve"> Chapter 3</w:t>
      </w:r>
      <w:r w:rsidR="00BF4FAF" w:rsidRPr="00BB3D77">
        <w:t>,</w:t>
      </w:r>
      <w:r w:rsidRPr="00BB3D77">
        <w:t xml:space="preserve"> we then d</w:t>
      </w:r>
      <w:r w:rsidR="009A0064" w:rsidRPr="00BB3D77">
        <w:t xml:space="preserve">rill down to explore </w:t>
      </w:r>
      <w:r w:rsidR="00424017" w:rsidRPr="00BB3D77">
        <w:t xml:space="preserve">how </w:t>
      </w:r>
      <w:r w:rsidR="00C44869" w:rsidRPr="00BB3D77">
        <w:t xml:space="preserve">the framework </w:t>
      </w:r>
      <w:r w:rsidR="00742BB8" w:rsidRPr="00BB3D77">
        <w:t xml:space="preserve">introduced in Chapter 1 </w:t>
      </w:r>
      <w:r w:rsidR="00424017" w:rsidRPr="00BB3D77">
        <w:t xml:space="preserve">can be </w:t>
      </w:r>
      <w:r w:rsidR="003F6A7A" w:rsidRPr="00BB3D77">
        <w:t>extended</w:t>
      </w:r>
      <w:r w:rsidR="00424017" w:rsidRPr="00BB3D77">
        <w:t xml:space="preserve"> </w:t>
      </w:r>
      <w:r w:rsidR="00C44869" w:rsidRPr="00BB3D77">
        <w:t xml:space="preserve">to </w:t>
      </w:r>
      <w:r w:rsidR="003212AB" w:rsidRPr="00BB3D77">
        <w:t xml:space="preserve">estimate </w:t>
      </w:r>
      <w:r w:rsidR="00CA3920" w:rsidRPr="00BB3D77">
        <w:t>a variety of</w:t>
      </w:r>
      <w:r w:rsidR="00933315" w:rsidRPr="00BB3D77">
        <w:t xml:space="preserve"> </w:t>
      </w:r>
      <w:r w:rsidR="003212AB" w:rsidRPr="00BB3D77">
        <w:t>social impacts</w:t>
      </w:r>
      <w:r w:rsidR="007F7973" w:rsidRPr="00BB3D77">
        <w:t>.</w:t>
      </w:r>
      <w:r w:rsidR="003212AB" w:rsidRPr="00BB3D77">
        <w:t xml:space="preserve"> Our assessment of </w:t>
      </w:r>
      <w:r w:rsidR="006E748D">
        <w:t>IFI</w:t>
      </w:r>
      <w:r w:rsidR="00CC571A">
        <w:t xml:space="preserve">-driven </w:t>
      </w:r>
      <w:r w:rsidR="00CC571A" w:rsidRPr="00BB3D77">
        <w:t xml:space="preserve">social impacts </w:t>
      </w:r>
      <w:r w:rsidR="00CC571A">
        <w:t>tied to ABFP and ADLA</w:t>
      </w:r>
      <w:r w:rsidR="00CC571A" w:rsidRPr="00BB3D77">
        <w:t xml:space="preserve"> </w:t>
      </w:r>
      <w:r w:rsidR="003212AB" w:rsidRPr="00BB3D77">
        <w:t xml:space="preserve">interprets </w:t>
      </w:r>
      <w:r w:rsidR="003F6A7A" w:rsidRPr="00BB3D77">
        <w:t>the results of our input-output modeling in Chapter 1,</w:t>
      </w:r>
      <w:r w:rsidR="003212AB" w:rsidRPr="00BB3D77">
        <w:t xml:space="preserve"> with help from Statistics Canada’s Indigenous focused survey research</w:t>
      </w:r>
      <w:r w:rsidR="00F96FE9" w:rsidRPr="00BB3D77">
        <w:t xml:space="preserve">, </w:t>
      </w:r>
      <w:r w:rsidR="003212AB" w:rsidRPr="00BB3D77">
        <w:t>Census data</w:t>
      </w:r>
      <w:r w:rsidR="00F96FE9" w:rsidRPr="00BB3D77">
        <w:t>, and</w:t>
      </w:r>
      <w:r w:rsidR="003212AB" w:rsidRPr="00BB3D77">
        <w:t xml:space="preserve"> </w:t>
      </w:r>
      <w:r w:rsidR="0045493F" w:rsidRPr="00BB3D77">
        <w:t xml:space="preserve">established </w:t>
      </w:r>
      <w:r w:rsidR="00F96FE9" w:rsidRPr="00BB3D77">
        <w:t xml:space="preserve">Canadian </w:t>
      </w:r>
      <w:r w:rsidR="003212AB" w:rsidRPr="00BB3D77">
        <w:t xml:space="preserve">research on the social determinants of health and wellbeing. </w:t>
      </w:r>
    </w:p>
    <w:p w14:paraId="6ABDCC4A" w14:textId="7DC332D0" w:rsidR="0045493F" w:rsidRPr="00BB3D77" w:rsidRDefault="007F0FD0" w:rsidP="004725DA">
      <w:pPr>
        <w:pStyle w:val="Body"/>
      </w:pPr>
      <w:r w:rsidRPr="00BB3D77">
        <w:t xml:space="preserve">Two decades of statistical research in Canada </w:t>
      </w:r>
      <w:r w:rsidR="003212AB" w:rsidRPr="00BB3D77">
        <w:t xml:space="preserve">links employment and income levels to </w:t>
      </w:r>
      <w:r w:rsidR="00BF2447" w:rsidRPr="00BB3D77">
        <w:t xml:space="preserve">health and </w:t>
      </w:r>
      <w:r w:rsidR="003212AB" w:rsidRPr="00BB3D77">
        <w:t xml:space="preserve">wellbeing outcomes. We apply this theory to </w:t>
      </w:r>
      <w:r w:rsidRPr="00BB3D77">
        <w:t xml:space="preserve">develop a simulation </w:t>
      </w:r>
      <w:r w:rsidR="003212AB" w:rsidRPr="00BB3D77">
        <w:t xml:space="preserve">model </w:t>
      </w:r>
      <w:r w:rsidRPr="00BB3D77">
        <w:t xml:space="preserve">of </w:t>
      </w:r>
      <w:r w:rsidR="006E748D">
        <w:t>IFI</w:t>
      </w:r>
      <w:r w:rsidRPr="00BB3D77">
        <w:t xml:space="preserve">-driven </w:t>
      </w:r>
      <w:r w:rsidR="003212AB" w:rsidRPr="00BB3D77">
        <w:t>social impacts</w:t>
      </w:r>
      <w:r w:rsidRPr="00BB3D77">
        <w:t xml:space="preserve"> for Indigenous workers living off-reserve</w:t>
      </w:r>
      <w:r w:rsidR="003212AB" w:rsidRPr="00BB3D77">
        <w:t xml:space="preserve">. </w:t>
      </w:r>
      <w:r w:rsidRPr="00BB3D77">
        <w:t xml:space="preserve">The simulation model </w:t>
      </w:r>
      <w:r w:rsidR="003212AB" w:rsidRPr="00BB3D77">
        <w:t>explor</w:t>
      </w:r>
      <w:r w:rsidRPr="00BB3D77">
        <w:t>es</w:t>
      </w:r>
      <w:r w:rsidR="003212AB" w:rsidRPr="00BB3D77">
        <w:t xml:space="preserve"> the </w:t>
      </w:r>
      <w:r w:rsidR="00394643" w:rsidRPr="00BB3D77">
        <w:t>plausible</w:t>
      </w:r>
      <w:r w:rsidR="003212AB" w:rsidRPr="00BB3D77">
        <w:t xml:space="preserve"> </w:t>
      </w:r>
      <w:r w:rsidR="00F96FE9" w:rsidRPr="00BB3D77">
        <w:t xml:space="preserve">direct </w:t>
      </w:r>
      <w:r w:rsidR="003212AB" w:rsidRPr="00BB3D77">
        <w:t xml:space="preserve">impacts of </w:t>
      </w:r>
      <w:r w:rsidR="006E748D">
        <w:t>IFI</w:t>
      </w:r>
      <w:r w:rsidR="00F96FE9" w:rsidRPr="00BB3D77">
        <w:t>-driven</w:t>
      </w:r>
      <w:r w:rsidR="003212AB" w:rsidRPr="00BB3D77">
        <w:t xml:space="preserve"> investments </w:t>
      </w:r>
      <w:r w:rsidR="00033F8A">
        <w:t xml:space="preserve">tied to ABFP and ADLA </w:t>
      </w:r>
      <w:r w:rsidR="003212AB" w:rsidRPr="00BB3D77">
        <w:t xml:space="preserve">on issues such as income and food security, health and mental </w:t>
      </w:r>
      <w:r w:rsidR="00F96FE9" w:rsidRPr="00BB3D77">
        <w:t>health, and housing satisfaction</w:t>
      </w:r>
      <w:r w:rsidR="003212AB" w:rsidRPr="00BB3D77">
        <w:t>.</w:t>
      </w:r>
      <w:r w:rsidR="00631E37" w:rsidRPr="00BB3D77">
        <w:t xml:space="preserve"> </w:t>
      </w:r>
    </w:p>
    <w:p w14:paraId="25339DE1" w14:textId="67FB0672" w:rsidR="0045493F" w:rsidRPr="00BB3D77" w:rsidRDefault="00D764C1" w:rsidP="004725DA">
      <w:pPr>
        <w:pStyle w:val="Body"/>
      </w:pPr>
      <w:r w:rsidRPr="00BB3D77">
        <w:t>Fifteen c</w:t>
      </w:r>
      <w:r w:rsidR="00C809AC" w:rsidRPr="00BB3D77">
        <w:t>ase illustrations</w:t>
      </w:r>
      <w:r w:rsidR="00631E37" w:rsidRPr="00BB3D77">
        <w:t xml:space="preserve"> presented </w:t>
      </w:r>
      <w:r w:rsidR="00C809AC" w:rsidRPr="00BB3D77">
        <w:t>throughout our discussion</w:t>
      </w:r>
      <w:r w:rsidR="00631E37" w:rsidRPr="00BB3D77">
        <w:t xml:space="preserve"> </w:t>
      </w:r>
      <w:r w:rsidR="00C809AC" w:rsidRPr="00BB3D77">
        <w:t>in</w:t>
      </w:r>
      <w:r w:rsidR="00631E37" w:rsidRPr="00BB3D77">
        <w:t xml:space="preserve"> Chapter </w:t>
      </w:r>
      <w:r w:rsidR="00A513B7" w:rsidRPr="00BB3D77">
        <w:t>3</w:t>
      </w:r>
      <w:r w:rsidR="00631E37" w:rsidRPr="00BB3D77">
        <w:t xml:space="preserve"> provide concrete insights into the ways </w:t>
      </w:r>
      <w:r w:rsidR="006E748D">
        <w:t>IFI</w:t>
      </w:r>
      <w:r w:rsidR="007C2374" w:rsidRPr="00BB3D77">
        <w:t>s</w:t>
      </w:r>
      <w:r w:rsidR="00631E37" w:rsidRPr="00BB3D77">
        <w:t xml:space="preserve"> support </w:t>
      </w:r>
      <w:r w:rsidR="007B627F" w:rsidRPr="00BB3D77">
        <w:t>and create</w:t>
      </w:r>
      <w:r w:rsidR="00631E37" w:rsidRPr="00BB3D77">
        <w:t xml:space="preserve"> </w:t>
      </w:r>
      <w:r w:rsidR="00394643" w:rsidRPr="00BB3D77">
        <w:t xml:space="preserve">associated </w:t>
      </w:r>
      <w:r w:rsidR="00631E37" w:rsidRPr="00BB3D77">
        <w:t xml:space="preserve">social impacts. </w:t>
      </w:r>
      <w:r w:rsidR="00A26A7E" w:rsidRPr="00BB3D77">
        <w:t>W</w:t>
      </w:r>
      <w:r w:rsidR="008B009D" w:rsidRPr="00BB3D77">
        <w:t xml:space="preserve">e </w:t>
      </w:r>
      <w:r w:rsidR="00277BBF" w:rsidRPr="00BB3D77">
        <w:t xml:space="preserve">then </w:t>
      </w:r>
      <w:r w:rsidR="008B009D" w:rsidRPr="00BB3D77">
        <w:t xml:space="preserve">conclude with a </w:t>
      </w:r>
      <w:r w:rsidR="00631E37" w:rsidRPr="00BB3D77">
        <w:t xml:space="preserve">general </w:t>
      </w:r>
      <w:r w:rsidR="008B009D" w:rsidRPr="00BB3D77">
        <w:t xml:space="preserve">discussion of </w:t>
      </w:r>
      <w:r w:rsidR="001D301F" w:rsidRPr="00BB3D77">
        <w:t xml:space="preserve">ways that </w:t>
      </w:r>
      <w:r w:rsidR="006E748D">
        <w:t>IFI</w:t>
      </w:r>
      <w:r w:rsidR="007C2374" w:rsidRPr="00BB3D77">
        <w:t>s</w:t>
      </w:r>
      <w:r w:rsidR="0013055E" w:rsidRPr="00BB3D77">
        <w:t xml:space="preserve"> build social </w:t>
      </w:r>
      <w:r w:rsidR="000F2EFB" w:rsidRPr="00BB3D77">
        <w:t>and</w:t>
      </w:r>
      <w:r w:rsidR="0013055E" w:rsidRPr="00BB3D77">
        <w:t xml:space="preserve"> economic capital in their communities and regions</w:t>
      </w:r>
      <w:r w:rsidR="007416FC" w:rsidRPr="00BB3D77">
        <w:t>.</w:t>
      </w:r>
      <w:r w:rsidR="00AF6245" w:rsidRPr="00BB3D77">
        <w:t xml:space="preserve"> </w:t>
      </w:r>
      <w:bookmarkStart w:id="8" w:name="_Ref62123768"/>
    </w:p>
    <w:p w14:paraId="0920A47D" w14:textId="46B6CF70" w:rsidR="00FA1DFB" w:rsidRPr="00BB3D77" w:rsidRDefault="00F34CE4" w:rsidP="004725DA">
      <w:pPr>
        <w:pStyle w:val="Body"/>
      </w:pPr>
      <w:r w:rsidRPr="00BB3D77">
        <w:t xml:space="preserve">Aside from the gains they create in business growth and employment, </w:t>
      </w:r>
      <w:r w:rsidR="006E748D">
        <w:t>IFI</w:t>
      </w:r>
      <w:r w:rsidR="007C2374" w:rsidRPr="00BB3D77">
        <w:t>s</w:t>
      </w:r>
      <w:r w:rsidR="004725DA" w:rsidRPr="00BB3D77">
        <w:t xml:space="preserve"> continue to break social barriers and social stereotypes that impede Indigenous entrepreneurship. </w:t>
      </w:r>
      <w:r w:rsidR="00C639C4" w:rsidRPr="00BB3D77">
        <w:t xml:space="preserve">Their mandates are socially expansive, to help Indigenous communities realize visions of better futures by helping grow the next generation of entrepreneurs and community leaders, often in </w:t>
      </w:r>
      <w:r w:rsidR="00277BBF" w:rsidRPr="00BB3D77">
        <w:t xml:space="preserve">rural and remote </w:t>
      </w:r>
      <w:r w:rsidR="00C639C4" w:rsidRPr="00BB3D77">
        <w:t xml:space="preserve">communities that stand to benefit the most. </w:t>
      </w:r>
      <w:r w:rsidRPr="00BB3D77">
        <w:t xml:space="preserve">Character-based lending is frequently part of the </w:t>
      </w:r>
      <w:r w:rsidR="006E748D">
        <w:t>IFI</w:t>
      </w:r>
      <w:r w:rsidR="007C2374" w:rsidRPr="00BB3D77">
        <w:t>s</w:t>
      </w:r>
      <w:r w:rsidRPr="00BB3D77">
        <w:t xml:space="preserve">’ repertoire. </w:t>
      </w:r>
      <w:r w:rsidR="00C639C4" w:rsidRPr="00BB3D77">
        <w:t>Many</w:t>
      </w:r>
      <w:r w:rsidRPr="00BB3D77">
        <w:t xml:space="preserve"> get to know their clients</w:t>
      </w:r>
      <w:r w:rsidR="00E7583F" w:rsidRPr="00BB3D77">
        <w:t xml:space="preserve"> at a </w:t>
      </w:r>
      <w:r w:rsidR="00C639C4" w:rsidRPr="00BB3D77">
        <w:t>deeper community</w:t>
      </w:r>
      <w:r w:rsidR="00E7583F" w:rsidRPr="00BB3D77">
        <w:t xml:space="preserve"> level,</w:t>
      </w:r>
      <w:r w:rsidRPr="00BB3D77">
        <w:t xml:space="preserve"> which leads to more enduring relationships of </w:t>
      </w:r>
      <w:r w:rsidR="004725DA" w:rsidRPr="00BB3D77">
        <w:t>trust</w:t>
      </w:r>
      <w:r w:rsidRPr="00BB3D77">
        <w:t>-based lending</w:t>
      </w:r>
      <w:r w:rsidR="00C639C4" w:rsidRPr="00BB3D77">
        <w:t xml:space="preserve"> that strengthens local entrepreneurship</w:t>
      </w:r>
      <w:r w:rsidR="003C0ECF" w:rsidRPr="00BB3D77">
        <w:t xml:space="preserve"> and social </w:t>
      </w:r>
      <w:r w:rsidR="005225B3" w:rsidRPr="00BB3D77">
        <w:t>cohesion</w:t>
      </w:r>
      <w:r w:rsidR="004725DA" w:rsidRPr="00BB3D77">
        <w:t>.</w:t>
      </w:r>
      <w:r w:rsidR="0001079D" w:rsidRPr="00BB3D77">
        <w:t xml:space="preserve"> </w:t>
      </w:r>
      <w:r w:rsidR="00FA1DFB" w:rsidRPr="00BB3D77">
        <w:br w:type="page"/>
      </w:r>
    </w:p>
    <w:p w14:paraId="6ECB8CCB" w14:textId="0AE1F8BF" w:rsidR="00091BDD" w:rsidRPr="00BB3D77" w:rsidRDefault="00091BDD" w:rsidP="00091BDD">
      <w:pPr>
        <w:pStyle w:val="Heading1"/>
      </w:pPr>
      <w:bookmarkStart w:id="9" w:name="_Toc136865074"/>
      <w:r w:rsidRPr="00BB3D77">
        <w:lastRenderedPageBreak/>
        <w:t>Chapter 1</w:t>
      </w:r>
      <w:bookmarkEnd w:id="8"/>
      <w:bookmarkEnd w:id="9"/>
    </w:p>
    <w:p w14:paraId="758D30FB" w14:textId="30511CD0" w:rsidR="00B94B34" w:rsidRPr="00BB3D77" w:rsidRDefault="00A05C23" w:rsidP="00EA213D">
      <w:pPr>
        <w:pStyle w:val="Heading2"/>
      </w:pPr>
      <w:bookmarkStart w:id="10" w:name="_Toc136865075"/>
      <w:r w:rsidRPr="00BB3D77">
        <w:t>E</w:t>
      </w:r>
      <w:r w:rsidR="003A751E" w:rsidRPr="00BB3D77">
        <w:t>stimating the Economic</w:t>
      </w:r>
      <w:r w:rsidRPr="00BB3D77">
        <w:t xml:space="preserve"> Impact</w:t>
      </w:r>
      <w:r w:rsidR="003A751E" w:rsidRPr="00BB3D77">
        <w:t>s</w:t>
      </w:r>
      <w:r w:rsidRPr="00BB3D77">
        <w:t xml:space="preserve"> of </w:t>
      </w:r>
      <w:r w:rsidR="006E748D">
        <w:t>IFI</w:t>
      </w:r>
      <w:r w:rsidR="00A62DD1" w:rsidRPr="00BB3D77">
        <w:t>-</w:t>
      </w:r>
      <w:r w:rsidR="00236418" w:rsidRPr="00BB3D77">
        <w:t>D</w:t>
      </w:r>
      <w:r w:rsidR="00A62DD1" w:rsidRPr="00BB3D77">
        <w:t>riven Finance</w:t>
      </w:r>
      <w:bookmarkEnd w:id="10"/>
      <w:r w:rsidRPr="00BB3D77">
        <w:t xml:space="preserve"> </w:t>
      </w:r>
    </w:p>
    <w:p w14:paraId="2B777F38" w14:textId="1E288F1E" w:rsidR="00E75D9E" w:rsidRPr="00BB3D77" w:rsidRDefault="00E75D9E" w:rsidP="00C8327F">
      <w:pPr>
        <w:pStyle w:val="Body"/>
      </w:pPr>
      <w:bookmarkStart w:id="11" w:name="_Toc37062188"/>
      <w:r w:rsidRPr="00BB3D77">
        <w:t xml:space="preserve">In the following sections we </w:t>
      </w:r>
      <w:r w:rsidR="00E97EB9" w:rsidRPr="00BB3D77">
        <w:t>estimate</w:t>
      </w:r>
      <w:r w:rsidRPr="00BB3D77">
        <w:t xml:space="preserve"> the </w:t>
      </w:r>
      <w:r w:rsidR="004A6698" w:rsidRPr="00BB3D77">
        <w:t xml:space="preserve">national </w:t>
      </w:r>
      <w:r w:rsidRPr="00BB3D77">
        <w:t xml:space="preserve">economic impacts of </w:t>
      </w:r>
      <w:r w:rsidR="006E748D">
        <w:t>IFI</w:t>
      </w:r>
      <w:r w:rsidRPr="00BB3D77">
        <w:t xml:space="preserve"> </w:t>
      </w:r>
      <w:r w:rsidR="00E97EB9" w:rsidRPr="00BB3D77">
        <w:t>loans</w:t>
      </w:r>
      <w:r w:rsidR="00536054" w:rsidRPr="00BB3D77">
        <w:t xml:space="preserve">, </w:t>
      </w:r>
      <w:r w:rsidR="00E97EB9" w:rsidRPr="00BB3D77">
        <w:t>matching non-repayable contributions, other commercial loans, and client equity</w:t>
      </w:r>
      <w:r w:rsidRPr="00BB3D77">
        <w:t xml:space="preserve"> </w:t>
      </w:r>
      <w:r w:rsidR="00076BDC">
        <w:t xml:space="preserve">tied to ABFP and ADLA over the </w:t>
      </w:r>
      <w:r w:rsidR="00E706E5">
        <w:t>five-year</w:t>
      </w:r>
      <w:r w:rsidR="00076BDC">
        <w:t xml:space="preserve"> period from 2016 to 2021.</w:t>
      </w:r>
      <w:r w:rsidRPr="00BB3D77">
        <w:t xml:space="preserve"> </w:t>
      </w:r>
      <w:r w:rsidR="00395771" w:rsidRPr="00BB3D77">
        <w:t>Our approach builds on Statistics Canada</w:t>
      </w:r>
      <w:r w:rsidR="004A419C" w:rsidRPr="00BB3D77">
        <w:t>’s</w:t>
      </w:r>
      <w:r w:rsidR="00395771" w:rsidRPr="00BB3D77">
        <w:t xml:space="preserve"> input-output model </w:t>
      </w:r>
      <w:r w:rsidR="004A419C" w:rsidRPr="00BB3D77">
        <w:t xml:space="preserve">of the Canadian economy to </w:t>
      </w:r>
      <w:r w:rsidR="00395771" w:rsidRPr="00BB3D77">
        <w:t>outline the economic footprint</w:t>
      </w:r>
      <w:r w:rsidR="00076BDC">
        <w:t xml:space="preserve"> of </w:t>
      </w:r>
      <w:r w:rsidR="006E748D">
        <w:t>IFI</w:t>
      </w:r>
      <w:r w:rsidR="00076BDC">
        <w:t>-driven investments tied to ABFP and ADLA</w:t>
      </w:r>
      <w:r w:rsidR="00395771" w:rsidRPr="00BB3D77">
        <w:t xml:space="preserve">. </w:t>
      </w:r>
      <w:r w:rsidR="004A419C" w:rsidRPr="00BB3D77">
        <w:t>In terms of</w:t>
      </w:r>
      <w:r w:rsidR="001013FB" w:rsidRPr="00BB3D77">
        <w:t xml:space="preserve"> business </w:t>
      </w:r>
      <w:r w:rsidR="009C144C" w:rsidRPr="00BB3D77">
        <w:t>activity,</w:t>
      </w:r>
      <w:r w:rsidR="001013FB" w:rsidRPr="00BB3D77">
        <w:t xml:space="preserve"> we mean whether an investment is made in capital, marketing, or business support services. By industry we mean one of </w:t>
      </w:r>
      <w:r w:rsidR="00762032" w:rsidRPr="00BB3D77">
        <w:t>236</w:t>
      </w:r>
      <w:r w:rsidR="001013FB" w:rsidRPr="00BB3D77">
        <w:t xml:space="preserve"> </w:t>
      </w:r>
      <w:r w:rsidR="006A66A6" w:rsidRPr="00BB3D77">
        <w:t xml:space="preserve">Statistics Canada </w:t>
      </w:r>
      <w:r w:rsidR="00762032" w:rsidRPr="00BB3D77">
        <w:t xml:space="preserve">input-output </w:t>
      </w:r>
      <w:r w:rsidR="001013FB" w:rsidRPr="00BB3D77">
        <w:t xml:space="preserve">codes </w:t>
      </w:r>
      <w:r w:rsidR="004A6698" w:rsidRPr="00BB3D77">
        <w:t>match</w:t>
      </w:r>
      <w:r w:rsidR="003F3F88" w:rsidRPr="00BB3D77">
        <w:t>ed to</w:t>
      </w:r>
      <w:r w:rsidR="001013FB" w:rsidRPr="00BB3D77">
        <w:t xml:space="preserve"> the North American Industry Classification System (NAICS).</w:t>
      </w:r>
    </w:p>
    <w:p w14:paraId="4226E489" w14:textId="0AB764F7" w:rsidR="00763656" w:rsidRPr="00BB3D77" w:rsidRDefault="00763656" w:rsidP="00763656">
      <w:pPr>
        <w:pStyle w:val="Body"/>
      </w:pPr>
      <w:r w:rsidRPr="00BB3D77">
        <w:t xml:space="preserve">The </w:t>
      </w:r>
      <w:r w:rsidR="003F3F88" w:rsidRPr="00BB3D77">
        <w:t xml:space="preserve">Conference Board’s </w:t>
      </w:r>
      <w:r w:rsidRPr="00BB3D77">
        <w:t>input-output model represents the input-output structure of the Canadian economy and describes the flow of goods and services in Canada across various sectors of the economy. This tool is used to simulate and analyze the economic impacts of a change in an industry’s output (such as an increase in business activity prompted by loans and government-assisted financ</w:t>
      </w:r>
      <w:r w:rsidR="004A6698" w:rsidRPr="00BB3D77">
        <w:t>ing</w:t>
      </w:r>
      <w:r w:rsidRPr="00BB3D77">
        <w:t>). In addition to estimating the number of jobs associated with a business activity, the input-out model also estimates related impacts</w:t>
      </w:r>
      <w:r w:rsidR="00E11FA1" w:rsidRPr="00BB3D77">
        <w:t>,</w:t>
      </w:r>
      <w:r w:rsidRPr="00BB3D77">
        <w:t xml:space="preserve"> </w:t>
      </w:r>
      <w:r w:rsidR="003F3F88" w:rsidRPr="00BB3D77">
        <w:t xml:space="preserve">such as on output, </w:t>
      </w:r>
      <w:r w:rsidRPr="00BB3D77">
        <w:t>Gross Domestic Product (GDP)</w:t>
      </w:r>
      <w:r w:rsidR="003F3F88" w:rsidRPr="00BB3D77">
        <w:t>,</w:t>
      </w:r>
      <w:r w:rsidRPr="00BB3D77">
        <w:t xml:space="preserve"> and </w:t>
      </w:r>
      <w:r w:rsidR="000B2217" w:rsidRPr="00BB3D77">
        <w:t>labour income</w:t>
      </w:r>
      <w:r w:rsidRPr="00BB3D77">
        <w:t>.</w:t>
      </w:r>
    </w:p>
    <w:p w14:paraId="22585293" w14:textId="42A17CED" w:rsidR="00E75D9E" w:rsidRPr="00BB3D77" w:rsidRDefault="00E75D9E" w:rsidP="00C8327F">
      <w:pPr>
        <w:pStyle w:val="Body"/>
      </w:pPr>
      <w:r w:rsidRPr="00BB3D77">
        <w:t xml:space="preserve">The economic impacts of any business are larger than its direct contribution </w:t>
      </w:r>
      <w:r w:rsidR="003C5451" w:rsidRPr="00BB3D77">
        <w:t>to employment and the production of goods and services</w:t>
      </w:r>
      <w:r w:rsidRPr="00BB3D77">
        <w:t xml:space="preserve">. Given that businesses, and ultimately industries, are linked to one another, economic activity in one industry sector can depend on and trigger economic activity in several others. For this reason, </w:t>
      </w:r>
      <w:r w:rsidR="002D38A7" w:rsidRPr="00BB3D77">
        <w:t>and</w:t>
      </w:r>
      <w:r w:rsidRPr="00BB3D77">
        <w:t xml:space="preserve"> to have a full appreciation and understanding of economic impact, the indirect and induced </w:t>
      </w:r>
      <w:r w:rsidR="003C5451" w:rsidRPr="00BB3D77">
        <w:t>impacts</w:t>
      </w:r>
      <w:r w:rsidRPr="00BB3D77">
        <w:t xml:space="preserve"> of business activity </w:t>
      </w:r>
      <w:r w:rsidR="00CA0445" w:rsidRPr="00BB3D77">
        <w:t>are</w:t>
      </w:r>
      <w:r w:rsidRPr="00BB3D77">
        <w:t xml:space="preserve"> accounted for </w:t>
      </w:r>
      <w:r w:rsidR="00317128" w:rsidRPr="00BB3D77">
        <w:t>on top of</w:t>
      </w:r>
      <w:r w:rsidRPr="00BB3D77">
        <w:t xml:space="preserve"> </w:t>
      </w:r>
      <w:r w:rsidR="003C5451" w:rsidRPr="00BB3D77">
        <w:t>the</w:t>
      </w:r>
      <w:r w:rsidRPr="00BB3D77">
        <w:t xml:space="preserve"> direct impacts. </w:t>
      </w:r>
    </w:p>
    <w:p w14:paraId="316492F7" w14:textId="310CB4F8" w:rsidR="00E75D9E" w:rsidRPr="00BB3D77" w:rsidRDefault="00E75D9E" w:rsidP="00C8327F">
      <w:pPr>
        <w:pStyle w:val="Body"/>
      </w:pPr>
      <w:r w:rsidRPr="00BB3D77">
        <w:t xml:space="preserve">The </w:t>
      </w:r>
      <w:r w:rsidR="003C5451" w:rsidRPr="00BB3D77">
        <w:t>economic impact</w:t>
      </w:r>
      <w:r w:rsidRPr="00BB3D77">
        <w:t xml:space="preserve"> </w:t>
      </w:r>
      <w:r w:rsidR="00076BDC">
        <w:t xml:space="preserve">of </w:t>
      </w:r>
      <w:r w:rsidR="006E748D">
        <w:t>IFI</w:t>
      </w:r>
      <w:r w:rsidR="00076BDC">
        <w:t xml:space="preserve">-driven investments tied to ABFP and ADLA </w:t>
      </w:r>
      <w:r w:rsidRPr="00BB3D77">
        <w:t xml:space="preserve">can therefore be defined as the combined direct, indirect, and induced impacts of the business activities </w:t>
      </w:r>
      <w:r w:rsidR="004A419C" w:rsidRPr="00BB3D77">
        <w:t xml:space="preserve">and industries </w:t>
      </w:r>
      <w:r w:rsidRPr="00BB3D77">
        <w:t>it contributes to, where the following definitions apply:</w:t>
      </w:r>
    </w:p>
    <w:p w14:paraId="7A66E518" w14:textId="77777777" w:rsidR="00E75D9E" w:rsidRPr="00BB3D77" w:rsidRDefault="00E75D9E" w:rsidP="00C8327F">
      <w:pPr>
        <w:pStyle w:val="Body"/>
        <w:numPr>
          <w:ilvl w:val="0"/>
          <w:numId w:val="40"/>
        </w:numPr>
      </w:pPr>
      <w:r w:rsidRPr="00BB3D77">
        <w:rPr>
          <w:b/>
          <w:bCs/>
        </w:rPr>
        <w:t>Direct impact</w:t>
      </w:r>
      <w:r w:rsidRPr="00BB3D77">
        <w:t xml:space="preserve"> measures the value added to the economy by businesses directly producing goods and services in Canada. </w:t>
      </w:r>
    </w:p>
    <w:p w14:paraId="586FC1FA" w14:textId="5CF75C63" w:rsidR="00E75D9E" w:rsidRPr="00BB3D77" w:rsidRDefault="00E75D9E" w:rsidP="00C8327F">
      <w:pPr>
        <w:pStyle w:val="Body"/>
        <w:numPr>
          <w:ilvl w:val="0"/>
          <w:numId w:val="40"/>
        </w:numPr>
      </w:pPr>
      <w:r w:rsidRPr="00BB3D77">
        <w:rPr>
          <w:b/>
          <w:bCs/>
        </w:rPr>
        <w:lastRenderedPageBreak/>
        <w:t>Indirect impact</w:t>
      </w:r>
      <w:r w:rsidRPr="00BB3D77">
        <w:t xml:space="preserve"> measures the value that businesses generate through their demand for intermediate inputs or other support services from other firms.</w:t>
      </w:r>
    </w:p>
    <w:p w14:paraId="52718230" w14:textId="670ECB42" w:rsidR="00E75D9E" w:rsidRPr="00BB3D77" w:rsidRDefault="00E75D9E" w:rsidP="00C8327F">
      <w:pPr>
        <w:pStyle w:val="Body"/>
        <w:numPr>
          <w:ilvl w:val="0"/>
          <w:numId w:val="40"/>
        </w:numPr>
      </w:pPr>
      <w:r w:rsidRPr="00BB3D77">
        <w:rPr>
          <w:b/>
          <w:bCs/>
        </w:rPr>
        <w:t>Induced impacts</w:t>
      </w:r>
      <w:r w:rsidRPr="00BB3D77">
        <w:t xml:space="preserve"> are derived when employees of </w:t>
      </w:r>
      <w:r w:rsidR="00317128" w:rsidRPr="00BB3D77">
        <w:t>businesses</w:t>
      </w:r>
      <w:r w:rsidRPr="00BB3D77">
        <w:t xml:space="preserve"> (both direct and indirect) spend their earnings, and owners spend their profits. These purchases lead to more employment, wages, income, and tax revenues, and their impact can be felt across the country.</w:t>
      </w:r>
    </w:p>
    <w:p w14:paraId="0F11731C" w14:textId="3F85F150" w:rsidR="00E75D9E" w:rsidRPr="00BB3D77" w:rsidRDefault="00CA3920" w:rsidP="00C13735">
      <w:pPr>
        <w:pStyle w:val="Heading3"/>
      </w:pPr>
      <w:bookmarkStart w:id="12" w:name="_Ref62123781"/>
      <w:bookmarkStart w:id="13" w:name="_Toc136865076"/>
      <w:r w:rsidRPr="00BB3D77">
        <w:t>Summary of model inputs</w:t>
      </w:r>
      <w:bookmarkEnd w:id="13"/>
    </w:p>
    <w:p w14:paraId="2B37A8AB" w14:textId="376BB279" w:rsidR="00962932" w:rsidRPr="00BB3D77" w:rsidRDefault="00E224E0" w:rsidP="00C8327F">
      <w:pPr>
        <w:pStyle w:val="Body"/>
      </w:pPr>
      <w:r w:rsidRPr="00BB3D77">
        <w:t>Inputs to t</w:t>
      </w:r>
      <w:r w:rsidR="00962932" w:rsidRPr="00BB3D77">
        <w:t xml:space="preserve">he Conference Board’s economic impact </w:t>
      </w:r>
      <w:r w:rsidRPr="00BB3D77">
        <w:t>model</w:t>
      </w:r>
      <w:r w:rsidR="00962932" w:rsidRPr="00BB3D77">
        <w:t xml:space="preserve"> </w:t>
      </w:r>
      <w:r w:rsidRPr="00BB3D77">
        <w:t>include</w:t>
      </w:r>
      <w:r w:rsidR="00962932" w:rsidRPr="00BB3D77">
        <w:t xml:space="preserve"> administrative data from </w:t>
      </w:r>
      <w:r w:rsidR="00B94986" w:rsidRPr="00BB3D77">
        <w:t xml:space="preserve">the </w:t>
      </w:r>
      <w:r w:rsidR="00B94986">
        <w:t>ABFP</w:t>
      </w:r>
      <w:r w:rsidR="00BC6A6F">
        <w:t xml:space="preserve"> and ADLA programs</w:t>
      </w:r>
      <w:r w:rsidR="00962932" w:rsidRPr="00BB3D77">
        <w:t>.</w:t>
      </w:r>
    </w:p>
    <w:p w14:paraId="1D9A3E66" w14:textId="7AE9CF5A" w:rsidR="00176AEE" w:rsidRPr="00BB3D77" w:rsidRDefault="006A66A6" w:rsidP="00C8327F">
      <w:pPr>
        <w:pStyle w:val="Body"/>
      </w:pPr>
      <w:r w:rsidRPr="00BB3D77">
        <w:t xml:space="preserve">The </w:t>
      </w:r>
      <w:r w:rsidR="00962932" w:rsidRPr="00BB3D77">
        <w:t>ABFP</w:t>
      </w:r>
      <w:r w:rsidRPr="00BB3D77">
        <w:t xml:space="preserve"> provides </w:t>
      </w:r>
      <w:r w:rsidR="004E2C98" w:rsidRPr="00BB3D77">
        <w:t xml:space="preserve">federal </w:t>
      </w:r>
      <w:r w:rsidRPr="00BB3D77">
        <w:t xml:space="preserve">non-repayable </w:t>
      </w:r>
      <w:r w:rsidR="004E2C98" w:rsidRPr="00BB3D77">
        <w:t>contributions</w:t>
      </w:r>
      <w:r w:rsidRPr="00BB3D77">
        <w:t xml:space="preserve"> to eligible Indigenous entrepreneurs and businesses in need of funds to start, acquire, or expand their business. It is focused primarily on capital investment, marketing, business plan development, and business advisory services. </w:t>
      </w:r>
      <w:r w:rsidR="00E75D9E" w:rsidRPr="00BB3D77">
        <w:t xml:space="preserve">Through ABFP, </w:t>
      </w:r>
      <w:r w:rsidR="006E748D">
        <w:t>IFI</w:t>
      </w:r>
      <w:r w:rsidR="007C2374" w:rsidRPr="00BB3D77">
        <w:t>s</w:t>
      </w:r>
      <w:r w:rsidR="00E75D9E" w:rsidRPr="00BB3D77">
        <w:t xml:space="preserve"> offer non-repayable contributions to a maximum of $99,000 </w:t>
      </w:r>
      <w:r w:rsidR="00CA26DD" w:rsidRPr="00BB3D77">
        <w:t>f</w:t>
      </w:r>
      <w:r w:rsidR="00E75D9E" w:rsidRPr="00BB3D77">
        <w:t>o</w:t>
      </w:r>
      <w:r w:rsidR="00CA26DD" w:rsidRPr="00BB3D77">
        <w:t>r</w:t>
      </w:r>
      <w:r w:rsidR="00E75D9E" w:rsidRPr="00BB3D77">
        <w:t xml:space="preserve"> eligible </w:t>
      </w:r>
      <w:r w:rsidR="000343EC" w:rsidRPr="00BB3D77">
        <w:t>Indigenous</w:t>
      </w:r>
      <w:r w:rsidR="00E75D9E" w:rsidRPr="00BB3D77">
        <w:t xml:space="preserve"> entrepreneurs and $250,000 </w:t>
      </w:r>
      <w:r w:rsidR="00CA26DD" w:rsidRPr="00BB3D77">
        <w:t>f</w:t>
      </w:r>
      <w:r w:rsidR="00E75D9E" w:rsidRPr="00BB3D77">
        <w:t>o</w:t>
      </w:r>
      <w:r w:rsidR="00CA26DD" w:rsidRPr="00BB3D77">
        <w:t>r</w:t>
      </w:r>
      <w:r w:rsidR="00E75D9E" w:rsidRPr="00BB3D77">
        <w:t xml:space="preserve"> community-owned </w:t>
      </w:r>
      <w:r w:rsidR="000343EC" w:rsidRPr="00BB3D77">
        <w:t>Indigenous</w:t>
      </w:r>
      <w:r w:rsidR="00E75D9E" w:rsidRPr="00BB3D77">
        <w:t xml:space="preserve"> businesses (subject to a viable business plan and to other financing being in place). These non-repayable funds can then be matched by a variety of </w:t>
      </w:r>
      <w:r w:rsidR="006E748D">
        <w:t>IFI</w:t>
      </w:r>
      <w:r w:rsidR="00E75D9E" w:rsidRPr="00BB3D77">
        <w:t xml:space="preserve"> and commercial loans</w:t>
      </w:r>
      <w:r w:rsidR="003C5451" w:rsidRPr="00BB3D77">
        <w:t xml:space="preserve">, and </w:t>
      </w:r>
      <w:r w:rsidR="00CA26DD" w:rsidRPr="00BB3D77">
        <w:t xml:space="preserve">by </w:t>
      </w:r>
      <w:r w:rsidR="003C5451" w:rsidRPr="00BB3D77">
        <w:t xml:space="preserve">other non-repayable contributions such as provincial </w:t>
      </w:r>
      <w:r w:rsidR="00CA26DD" w:rsidRPr="00BB3D77">
        <w:t xml:space="preserve">or territorial </w:t>
      </w:r>
      <w:r w:rsidR="003C5451" w:rsidRPr="00BB3D77">
        <w:t>level programs</w:t>
      </w:r>
      <w:r w:rsidR="00E75D9E" w:rsidRPr="00BB3D77">
        <w:t>. In most cases the</w:t>
      </w:r>
      <w:r w:rsidR="003C5451" w:rsidRPr="00BB3D77">
        <w:t xml:space="preserve"> loans and non-repayable contributions</w:t>
      </w:r>
      <w:r w:rsidR="00E75D9E" w:rsidRPr="00BB3D77">
        <w:t xml:space="preserve"> also require a client equity contribution. </w:t>
      </w:r>
      <w:r w:rsidR="00962932" w:rsidRPr="00BB3D77">
        <w:t xml:space="preserve">The ADLA program, delivered by NACCA, helps </w:t>
      </w:r>
      <w:r w:rsidR="006E748D">
        <w:t>IFI</w:t>
      </w:r>
      <w:r w:rsidR="007C2374" w:rsidRPr="00BB3D77">
        <w:t>s</w:t>
      </w:r>
      <w:r w:rsidR="00962932" w:rsidRPr="00BB3D77">
        <w:t xml:space="preserve"> recover costs associated with the provision, management, and repayment of developmental loans.</w:t>
      </w:r>
    </w:p>
    <w:p w14:paraId="78AFCDA4" w14:textId="71E204C8" w:rsidR="00E75D9E" w:rsidRPr="00BB3D77" w:rsidRDefault="00962932" w:rsidP="00C8327F">
      <w:pPr>
        <w:pStyle w:val="Body"/>
      </w:pPr>
      <w:r w:rsidRPr="00BB3D77">
        <w:t>In support of</w:t>
      </w:r>
      <w:r w:rsidR="00E75D9E" w:rsidRPr="00BB3D77">
        <w:t xml:space="preserve"> th</w:t>
      </w:r>
      <w:r w:rsidR="00CA26DD" w:rsidRPr="00BB3D77">
        <w:t>e Conference Board’s</w:t>
      </w:r>
      <w:r w:rsidR="00E75D9E" w:rsidRPr="00BB3D77">
        <w:t xml:space="preserve"> </w:t>
      </w:r>
      <w:r w:rsidR="00CA26DD" w:rsidRPr="00BB3D77">
        <w:t xml:space="preserve">impact </w:t>
      </w:r>
      <w:r w:rsidRPr="00BB3D77">
        <w:t>assessment,</w:t>
      </w:r>
      <w:r w:rsidR="00E75D9E" w:rsidRPr="00BB3D77">
        <w:t xml:space="preserve"> NACCA staff </w:t>
      </w:r>
      <w:r w:rsidRPr="00BB3D77">
        <w:t>compiled ABFP and ADLA program data</w:t>
      </w:r>
      <w:r w:rsidR="00E75D9E" w:rsidRPr="00BB3D77">
        <w:t xml:space="preserve"> </w:t>
      </w:r>
      <w:r w:rsidR="009B5172" w:rsidRPr="00BB3D77">
        <w:t xml:space="preserve">about </w:t>
      </w:r>
      <w:r w:rsidR="00E75D9E" w:rsidRPr="00BB3D77">
        <w:t xml:space="preserve">the loans and government-assisted financing </w:t>
      </w:r>
      <w:r w:rsidR="006E748D">
        <w:t>IFI</w:t>
      </w:r>
      <w:r w:rsidR="007C2374" w:rsidRPr="00BB3D77">
        <w:t>s</w:t>
      </w:r>
      <w:r w:rsidR="00E75D9E" w:rsidRPr="00BB3D77">
        <w:t xml:space="preserve"> provided to </w:t>
      </w:r>
      <w:r w:rsidR="000343EC" w:rsidRPr="00BB3D77">
        <w:t>Indigenous</w:t>
      </w:r>
      <w:r w:rsidR="00E75D9E" w:rsidRPr="00BB3D77">
        <w:t xml:space="preserve"> entrepreneurs and SMEs </w:t>
      </w:r>
      <w:r w:rsidR="00363CD0" w:rsidRPr="00BB3D77">
        <w:t>from</w:t>
      </w:r>
      <w:r w:rsidR="00E75D9E" w:rsidRPr="00BB3D77">
        <w:t xml:space="preserve"> fiscal years 201</w:t>
      </w:r>
      <w:r w:rsidR="00363CD0" w:rsidRPr="00BB3D77">
        <w:t>6</w:t>
      </w:r>
      <w:r w:rsidR="00E75D9E" w:rsidRPr="00BB3D77">
        <w:t>-201</w:t>
      </w:r>
      <w:r w:rsidR="00363CD0" w:rsidRPr="00BB3D77">
        <w:t>7</w:t>
      </w:r>
      <w:r w:rsidR="00E75D9E" w:rsidRPr="00BB3D77">
        <w:t xml:space="preserve"> </w:t>
      </w:r>
      <w:r w:rsidR="00363CD0" w:rsidRPr="00BB3D77">
        <w:t>to</w:t>
      </w:r>
      <w:r w:rsidR="00E75D9E" w:rsidRPr="00BB3D77">
        <w:t xml:space="preserve"> 20</w:t>
      </w:r>
      <w:r w:rsidR="00363CD0" w:rsidRPr="00BB3D77">
        <w:t>20</w:t>
      </w:r>
      <w:r w:rsidR="00E75D9E" w:rsidRPr="00BB3D77">
        <w:t>-20</w:t>
      </w:r>
      <w:r w:rsidR="00363CD0" w:rsidRPr="00BB3D77">
        <w:t>21</w:t>
      </w:r>
      <w:r w:rsidR="00E75D9E" w:rsidRPr="00BB3D77">
        <w:t xml:space="preserve">. In addition to </w:t>
      </w:r>
      <w:r w:rsidR="00A9394E" w:rsidRPr="00BB3D77">
        <w:t>describing</w:t>
      </w:r>
      <w:r w:rsidR="00E75D9E" w:rsidRPr="00BB3D77">
        <w:t xml:space="preserve"> the general purpose of</w:t>
      </w:r>
      <w:r w:rsidR="00A9394E" w:rsidRPr="00BB3D77">
        <w:t xml:space="preserve"> each</w:t>
      </w:r>
      <w:r w:rsidR="00E75D9E" w:rsidRPr="00BB3D77">
        <w:t xml:space="preserve"> loan, the dataset also </w:t>
      </w:r>
      <w:r w:rsidR="00A9394E" w:rsidRPr="00BB3D77">
        <w:t>identifies</w:t>
      </w:r>
      <w:r w:rsidR="00E75D9E" w:rsidRPr="00BB3D77">
        <w:t xml:space="preserve"> the industry sectors</w:t>
      </w:r>
      <w:r w:rsidR="00CA26DD" w:rsidRPr="00BB3D77">
        <w:t xml:space="preserve"> and subsectors</w:t>
      </w:r>
      <w:r w:rsidR="00E75D9E" w:rsidRPr="00BB3D77">
        <w:t xml:space="preserve"> involved along</w:t>
      </w:r>
      <w:r w:rsidR="00CA26DD" w:rsidRPr="00BB3D77">
        <w:t>side</w:t>
      </w:r>
      <w:r w:rsidR="00E75D9E" w:rsidRPr="00BB3D77">
        <w:t xml:space="preserve"> details </w:t>
      </w:r>
      <w:r w:rsidR="00CA26DD" w:rsidRPr="00BB3D77">
        <w:t>about</w:t>
      </w:r>
      <w:r w:rsidR="00E75D9E" w:rsidRPr="00BB3D77">
        <w:t xml:space="preserve"> the client’s equity participation</w:t>
      </w:r>
      <w:r w:rsidR="00363CD0" w:rsidRPr="00BB3D77">
        <w:t xml:space="preserve">, </w:t>
      </w:r>
      <w:r w:rsidR="002B76F2" w:rsidRPr="00BB3D77">
        <w:t>other</w:t>
      </w:r>
      <w:r w:rsidR="00E75D9E" w:rsidRPr="00BB3D77">
        <w:t xml:space="preserve"> </w:t>
      </w:r>
      <w:r w:rsidR="000343EC" w:rsidRPr="00BB3D77">
        <w:t>non-repayable</w:t>
      </w:r>
      <w:r w:rsidR="00E75D9E" w:rsidRPr="00BB3D77">
        <w:t xml:space="preserve"> contributions</w:t>
      </w:r>
      <w:r w:rsidR="00363CD0" w:rsidRPr="00BB3D77">
        <w:t>, and other commercial loans</w:t>
      </w:r>
      <w:r w:rsidR="00E75D9E" w:rsidRPr="00BB3D77">
        <w:t xml:space="preserve">. </w:t>
      </w:r>
    </w:p>
    <w:p w14:paraId="0B7111E1" w14:textId="0674769D" w:rsidR="00E75D9E" w:rsidRPr="00BB3D77" w:rsidRDefault="00E75D9E" w:rsidP="00C8327F">
      <w:pPr>
        <w:pStyle w:val="Body"/>
      </w:pPr>
      <w:r w:rsidRPr="00BB3D77">
        <w:t xml:space="preserve">From the historical dataset, </w:t>
      </w:r>
      <w:r w:rsidR="00831893" w:rsidRPr="00BB3D77">
        <w:t>over 6,900</w:t>
      </w:r>
      <w:r w:rsidR="00E224E0" w:rsidRPr="00BB3D77">
        <w:t xml:space="preserve"> </w:t>
      </w:r>
      <w:r w:rsidRPr="00BB3D77">
        <w:t>cases of loans, non-repayable government contributions, and client equity, valued at $</w:t>
      </w:r>
      <w:r w:rsidR="009702C2" w:rsidRPr="00BB3D77">
        <w:t>813</w:t>
      </w:r>
      <w:r w:rsidR="00A93F33" w:rsidRPr="00BB3D77">
        <w:t>.2</w:t>
      </w:r>
      <w:r w:rsidRPr="00BB3D77">
        <w:t xml:space="preserve"> million</w:t>
      </w:r>
      <w:r w:rsidR="00216080" w:rsidRPr="00BB3D77">
        <w:t xml:space="preserve"> (</w:t>
      </w:r>
      <w:r w:rsidR="0090220F" w:rsidRPr="00BB3D77">
        <w:t>2020 constant dollars)</w:t>
      </w:r>
      <w:r w:rsidRPr="00BB3D77">
        <w:t>, included sufficient information to be incorporated in the impact assessment. Of the total cases included in the impact assessment, $</w:t>
      </w:r>
      <w:r w:rsidR="00A93F33" w:rsidRPr="00BB3D77">
        <w:t>788.8</w:t>
      </w:r>
      <w:r w:rsidRPr="00BB3D77">
        <w:t xml:space="preserve"> million (or 9</w:t>
      </w:r>
      <w:r w:rsidR="000F0E17" w:rsidRPr="00BB3D77">
        <w:t>7</w:t>
      </w:r>
      <w:r w:rsidRPr="00BB3D77">
        <w:t xml:space="preserve"> per cent) went to businesses for capital costs associated with establishing</w:t>
      </w:r>
      <w:r w:rsidR="00E26DCB" w:rsidRPr="00BB3D77">
        <w:t>, acquiring,</w:t>
      </w:r>
      <w:r w:rsidRPr="00BB3D77">
        <w:t xml:space="preserve"> or expanding a business. An additional $</w:t>
      </w:r>
      <w:r w:rsidR="000F0E17" w:rsidRPr="00BB3D77">
        <w:t>8.1</w:t>
      </w:r>
      <w:r w:rsidRPr="00BB3D77">
        <w:t xml:space="preserve"> million (or </w:t>
      </w:r>
      <w:r w:rsidR="000F0E17" w:rsidRPr="00BB3D77">
        <w:t>1</w:t>
      </w:r>
      <w:r w:rsidRPr="00BB3D77">
        <w:t xml:space="preserve"> per cent) went </w:t>
      </w:r>
      <w:r w:rsidRPr="00BB3D77">
        <w:lastRenderedPageBreak/>
        <w:t>to businesses for marketing activities; while $</w:t>
      </w:r>
      <w:r w:rsidR="000F0E17" w:rsidRPr="00BB3D77">
        <w:t>16</w:t>
      </w:r>
      <w:r w:rsidRPr="00BB3D77">
        <w:t>.</w:t>
      </w:r>
      <w:r w:rsidR="00F004C1" w:rsidRPr="00BB3D77">
        <w:t>2</w:t>
      </w:r>
      <w:r w:rsidRPr="00BB3D77">
        <w:t xml:space="preserve"> million (or </w:t>
      </w:r>
      <w:r w:rsidR="000F0E17" w:rsidRPr="00BB3D77">
        <w:t>2</w:t>
      </w:r>
      <w:r w:rsidRPr="00BB3D77">
        <w:t xml:space="preserve"> per cent) went to businesses for business plan development or business advisory services aimed at improving the client’s business plan and capacity. Given that the funds directed at capital investment comprised by far the largest share of funds and client equity represented in the model, their associated patterns of business activity have the greatest influence on the </w:t>
      </w:r>
      <w:r w:rsidR="0087796A" w:rsidRPr="00BB3D77">
        <w:t>estimation</w:t>
      </w:r>
      <w:r w:rsidRPr="00BB3D77">
        <w:t xml:space="preserve"> of impacts.      </w:t>
      </w:r>
    </w:p>
    <w:p w14:paraId="3C3A782A" w14:textId="23547B91" w:rsidR="00831893" w:rsidRPr="00BB3D77" w:rsidRDefault="00831893" w:rsidP="00C8327F">
      <w:pPr>
        <w:pStyle w:val="Body"/>
        <w:rPr>
          <w:bCs/>
          <w:lang w:val="en-US"/>
        </w:rPr>
      </w:pPr>
      <w:r w:rsidRPr="00BB3D77">
        <w:t>In terms of key industr</w:t>
      </w:r>
      <w:r w:rsidR="009C5D3E" w:rsidRPr="00BB3D77">
        <w:t>y sectors</w:t>
      </w:r>
      <w:r w:rsidRPr="00BB3D77">
        <w:t xml:space="preserve">, </w:t>
      </w:r>
      <w:r w:rsidRPr="00BB3D77">
        <w:rPr>
          <w:bCs/>
          <w:lang w:val="en-US"/>
        </w:rPr>
        <w:t xml:space="preserve">50 per cent of </w:t>
      </w:r>
      <w:r w:rsidR="006E748D">
        <w:rPr>
          <w:bCs/>
          <w:lang w:val="en-US"/>
        </w:rPr>
        <w:t>IFI</w:t>
      </w:r>
      <w:r w:rsidRPr="00BB3D77">
        <w:rPr>
          <w:bCs/>
          <w:lang w:val="en-US"/>
        </w:rPr>
        <w:t xml:space="preserve"> directed investments</w:t>
      </w:r>
      <w:r w:rsidR="00076BDC">
        <w:rPr>
          <w:bCs/>
          <w:lang w:val="en-US"/>
        </w:rPr>
        <w:t xml:space="preserve"> tied to ABFP and ADLA</w:t>
      </w:r>
      <w:r w:rsidRPr="00BB3D77">
        <w:rPr>
          <w:bCs/>
          <w:lang w:val="en-US"/>
        </w:rPr>
        <w:t xml:space="preserve"> (including loans, non-repayable contributions, and client equity) went to three industry sectors: </w:t>
      </w:r>
      <w:r w:rsidR="009C5D3E" w:rsidRPr="00BB3D77">
        <w:rPr>
          <w:bCs/>
          <w:lang w:val="en-US"/>
        </w:rPr>
        <w:t xml:space="preserve">1) </w:t>
      </w:r>
      <w:r w:rsidRPr="00BB3D77">
        <w:rPr>
          <w:bCs/>
          <w:lang w:val="en-US"/>
        </w:rPr>
        <w:t>Retail trade,</w:t>
      </w:r>
      <w:r w:rsidR="009C5D3E" w:rsidRPr="00BB3D77">
        <w:rPr>
          <w:bCs/>
          <w:lang w:val="en-US"/>
        </w:rPr>
        <w:t xml:space="preserve"> 2)</w:t>
      </w:r>
      <w:r w:rsidRPr="00BB3D77">
        <w:rPr>
          <w:bCs/>
          <w:lang w:val="en-US"/>
        </w:rPr>
        <w:t xml:space="preserve"> Agriculture, forestry, fishing</w:t>
      </w:r>
      <w:r w:rsidR="00523BAD" w:rsidRPr="00BB3D77">
        <w:rPr>
          <w:bCs/>
          <w:lang w:val="en-US"/>
        </w:rPr>
        <w:t xml:space="preserve"> and hunting</w:t>
      </w:r>
      <w:r w:rsidRPr="00BB3D77">
        <w:rPr>
          <w:bCs/>
          <w:lang w:val="en-US"/>
        </w:rPr>
        <w:t xml:space="preserve">, and </w:t>
      </w:r>
      <w:r w:rsidR="009C5D3E" w:rsidRPr="00BB3D77">
        <w:rPr>
          <w:bCs/>
          <w:lang w:val="en-US"/>
        </w:rPr>
        <w:t xml:space="preserve">3) </w:t>
      </w:r>
      <w:r w:rsidRPr="00BB3D77">
        <w:rPr>
          <w:bCs/>
          <w:lang w:val="en-US"/>
        </w:rPr>
        <w:t>Accommodation and food services.  See</w:t>
      </w:r>
      <w:r w:rsidR="00523BAD" w:rsidRPr="00BB3D77">
        <w:rPr>
          <w:bCs/>
          <w:lang w:val="en-US"/>
        </w:rPr>
        <w:t xml:space="preserve"> </w:t>
      </w:r>
      <w:r w:rsidR="00523BAD" w:rsidRPr="00BB3D77">
        <w:rPr>
          <w:bCs/>
          <w:lang w:val="en-US"/>
        </w:rPr>
        <w:fldChar w:fldCharType="begin"/>
      </w:r>
      <w:r w:rsidR="00523BAD" w:rsidRPr="00BB3D77">
        <w:rPr>
          <w:bCs/>
          <w:lang w:val="en-US"/>
        </w:rPr>
        <w:instrText xml:space="preserve"> REF _Ref105408799 \h </w:instrText>
      </w:r>
      <w:r w:rsidR="0089364D" w:rsidRPr="00BB3D77">
        <w:rPr>
          <w:bCs/>
          <w:lang w:val="en-US"/>
        </w:rPr>
        <w:instrText xml:space="preserve"> \* MERGEFORMAT </w:instrText>
      </w:r>
      <w:r w:rsidR="00523BAD" w:rsidRPr="00BB3D77">
        <w:rPr>
          <w:bCs/>
          <w:lang w:val="en-US"/>
        </w:rPr>
      </w:r>
      <w:r w:rsidR="00523BAD" w:rsidRPr="00BB3D77">
        <w:rPr>
          <w:bCs/>
          <w:lang w:val="en-US"/>
        </w:rPr>
        <w:fldChar w:fldCharType="separate"/>
      </w:r>
      <w:r w:rsidR="00220F3D" w:rsidRPr="00BB3D77">
        <w:t xml:space="preserve">Chart </w:t>
      </w:r>
      <w:r w:rsidR="00220F3D">
        <w:t>2</w:t>
      </w:r>
      <w:r w:rsidR="00523BAD" w:rsidRPr="00BB3D77">
        <w:rPr>
          <w:bCs/>
          <w:lang w:val="en-US"/>
        </w:rPr>
        <w:fldChar w:fldCharType="end"/>
      </w:r>
      <w:r w:rsidR="00CA40FF" w:rsidRPr="00BB3D77">
        <w:rPr>
          <w:bCs/>
          <w:lang w:val="en-US"/>
        </w:rPr>
        <w:t xml:space="preserve"> </w:t>
      </w:r>
      <w:r w:rsidR="00E96013" w:rsidRPr="00BB3D77">
        <w:rPr>
          <w:bCs/>
          <w:lang w:val="en-US"/>
        </w:rPr>
        <w:t xml:space="preserve">for the proportions </w:t>
      </w:r>
      <w:r w:rsidR="00CA40FF" w:rsidRPr="00BB3D77">
        <w:rPr>
          <w:bCs/>
          <w:lang w:val="en-US"/>
        </w:rPr>
        <w:t xml:space="preserve">and </w:t>
      </w:r>
      <w:r w:rsidR="00E96013" w:rsidRPr="00BB3D77">
        <w:rPr>
          <w:bCs/>
          <w:lang w:val="en-US"/>
        </w:rPr>
        <w:fldChar w:fldCharType="begin"/>
      </w:r>
      <w:r w:rsidR="00E96013" w:rsidRPr="00BB3D77">
        <w:rPr>
          <w:bCs/>
          <w:lang w:val="en-US"/>
        </w:rPr>
        <w:instrText xml:space="preserve"> REF _Ref105408799 \h </w:instrText>
      </w:r>
      <w:r w:rsidR="00FE192A" w:rsidRPr="00BB3D77">
        <w:rPr>
          <w:bCs/>
          <w:lang w:val="en-US"/>
        </w:rPr>
        <w:instrText xml:space="preserve"> \* MERGEFORMAT </w:instrText>
      </w:r>
      <w:r w:rsidR="00E96013" w:rsidRPr="00BB3D77">
        <w:rPr>
          <w:bCs/>
          <w:lang w:val="en-US"/>
        </w:rPr>
      </w:r>
      <w:r w:rsidR="00E96013" w:rsidRPr="00BB3D77">
        <w:rPr>
          <w:bCs/>
          <w:lang w:val="en-US"/>
        </w:rPr>
        <w:fldChar w:fldCharType="separate"/>
      </w:r>
      <w:r w:rsidR="00220F3D" w:rsidRPr="00BB3D77">
        <w:t xml:space="preserve">Chart </w:t>
      </w:r>
      <w:r w:rsidR="00220F3D">
        <w:rPr>
          <w:noProof/>
        </w:rPr>
        <w:t>2</w:t>
      </w:r>
      <w:r w:rsidR="00E96013" w:rsidRPr="00BB3D77">
        <w:rPr>
          <w:bCs/>
          <w:lang w:val="en-US"/>
        </w:rPr>
        <w:fldChar w:fldCharType="end"/>
      </w:r>
      <w:r w:rsidR="00E96013" w:rsidRPr="00BB3D77">
        <w:rPr>
          <w:bCs/>
          <w:lang w:val="en-US"/>
        </w:rPr>
        <w:t xml:space="preserve"> for </w:t>
      </w:r>
      <w:r w:rsidR="00961FC8" w:rsidRPr="00BB3D77">
        <w:rPr>
          <w:bCs/>
          <w:lang w:val="en-US"/>
        </w:rPr>
        <w:t>total invest</w:t>
      </w:r>
      <w:r w:rsidR="00750553" w:rsidRPr="00BB3D77">
        <w:rPr>
          <w:bCs/>
          <w:lang w:val="en-US"/>
        </w:rPr>
        <w:t>ed</w:t>
      </w:r>
      <w:r w:rsidR="00961FC8" w:rsidRPr="00BB3D77">
        <w:rPr>
          <w:bCs/>
          <w:lang w:val="en-US"/>
        </w:rPr>
        <w:t xml:space="preserve"> by </w:t>
      </w:r>
      <w:r w:rsidR="0065339F" w:rsidRPr="00BB3D77">
        <w:rPr>
          <w:bCs/>
          <w:lang w:val="en-US"/>
        </w:rPr>
        <w:t xml:space="preserve">each of the top </w:t>
      </w:r>
      <w:r w:rsidR="00E21A37" w:rsidRPr="00BB3D77">
        <w:rPr>
          <w:bCs/>
          <w:lang w:val="en-US"/>
        </w:rPr>
        <w:t>five</w:t>
      </w:r>
      <w:r w:rsidR="0065339F" w:rsidRPr="00BB3D77">
        <w:rPr>
          <w:bCs/>
          <w:lang w:val="en-US"/>
        </w:rPr>
        <w:t xml:space="preserve"> </w:t>
      </w:r>
      <w:r w:rsidR="00961FC8" w:rsidRPr="00BB3D77">
        <w:rPr>
          <w:bCs/>
          <w:lang w:val="en-US"/>
        </w:rPr>
        <w:t>industr</w:t>
      </w:r>
      <w:r w:rsidR="0065339F" w:rsidRPr="00BB3D77">
        <w:rPr>
          <w:bCs/>
          <w:lang w:val="en-US"/>
        </w:rPr>
        <w:t>ies</w:t>
      </w:r>
      <w:r w:rsidR="00523BAD" w:rsidRPr="00BB3D77">
        <w:rPr>
          <w:bCs/>
          <w:lang w:val="en-US"/>
        </w:rPr>
        <w:t>.</w:t>
      </w:r>
      <w:r w:rsidRPr="00BB3D77">
        <w:rPr>
          <w:bCs/>
          <w:lang w:val="en-US"/>
        </w:rPr>
        <w:t xml:space="preserve"> </w:t>
      </w:r>
    </w:p>
    <w:p w14:paraId="2D648FC9" w14:textId="7DC2DB97" w:rsidR="00316CA8" w:rsidRPr="00BB3D77" w:rsidRDefault="00CA40FF" w:rsidP="00CA40FF">
      <w:pPr>
        <w:pStyle w:val="Chart"/>
      </w:pPr>
      <w:r w:rsidRPr="00BB3D77">
        <w:t xml:space="preserve">Chart </w:t>
      </w:r>
      <w:r w:rsidR="00F4140C">
        <w:fldChar w:fldCharType="begin"/>
      </w:r>
      <w:r w:rsidR="00F4140C">
        <w:instrText xml:space="preserve"> SEQ Chart \* ARABIC </w:instrText>
      </w:r>
      <w:r w:rsidR="00F4140C">
        <w:fldChar w:fldCharType="separate"/>
      </w:r>
      <w:r w:rsidR="00220F3D">
        <w:rPr>
          <w:noProof/>
        </w:rPr>
        <w:t>1</w:t>
      </w:r>
      <w:r w:rsidR="00F4140C">
        <w:rPr>
          <w:noProof/>
        </w:rPr>
        <w:fldChar w:fldCharType="end"/>
      </w:r>
    </w:p>
    <w:p w14:paraId="326FEDE7" w14:textId="56BB69A8" w:rsidR="00CA40FF" w:rsidRPr="00BB3D77" w:rsidRDefault="00076BDC" w:rsidP="00CA40FF">
      <w:pPr>
        <w:pStyle w:val="Chart"/>
      </w:pPr>
      <w:r>
        <w:t>Percentage s</w:t>
      </w:r>
      <w:r w:rsidR="00512A50">
        <w:t>hare of t</w:t>
      </w:r>
      <w:r w:rsidR="00636C53" w:rsidRPr="00BB3D77">
        <w:t>op five</w:t>
      </w:r>
      <w:r w:rsidR="00CA40FF" w:rsidRPr="00BB3D77">
        <w:t xml:space="preserve"> industry sector</w:t>
      </w:r>
      <w:r w:rsidR="00316CA8" w:rsidRPr="00BB3D77">
        <w:t>s</w:t>
      </w:r>
      <w:r w:rsidR="00512A50">
        <w:t xml:space="preserve"> by total project value</w:t>
      </w:r>
    </w:p>
    <w:p w14:paraId="283A175F" w14:textId="62593074" w:rsidR="00265C34" w:rsidRPr="00BB3D77" w:rsidRDefault="00E545BB" w:rsidP="00156B94">
      <w:pPr>
        <w:pStyle w:val="Body"/>
        <w:spacing w:after="0"/>
        <w:rPr>
          <w:bCs/>
          <w:lang w:val="en-US"/>
        </w:rPr>
      </w:pPr>
      <w:r w:rsidRPr="00BB3D77">
        <w:rPr>
          <w:noProof/>
        </w:rPr>
        <w:drawing>
          <wp:inline distT="0" distB="0" distL="0" distR="0" wp14:anchorId="12A4C17D" wp14:editId="1555B424">
            <wp:extent cx="5778000" cy="3463200"/>
            <wp:effectExtent l="0" t="0" r="13335" b="4445"/>
            <wp:docPr id="9" name="Chart 9">
              <a:extLst xmlns:a="http://schemas.openxmlformats.org/drawingml/2006/main">
                <a:ext uri="{FF2B5EF4-FFF2-40B4-BE49-F238E27FC236}">
                  <a16:creationId xmlns:a16="http://schemas.microsoft.com/office/drawing/2014/main" id="{B6F4819F-2536-2B6B-3748-D0A56271AB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405F50" w14:textId="32B9445F" w:rsidR="00E431B3" w:rsidRPr="00BB3D77" w:rsidRDefault="00E431B3" w:rsidP="00156B94">
      <w:pPr>
        <w:pStyle w:val="ChartSource"/>
        <w:spacing w:before="0"/>
      </w:pPr>
      <w:r w:rsidRPr="00BB3D77">
        <w:t xml:space="preserve">Source: </w:t>
      </w:r>
      <w:r w:rsidR="00156B94" w:rsidRPr="00BB3D77">
        <w:t xml:space="preserve">NACCA, </w:t>
      </w:r>
      <w:r w:rsidRPr="00BB3D77">
        <w:t>The Conference Board of Canada</w:t>
      </w:r>
    </w:p>
    <w:p w14:paraId="0B49D6A4" w14:textId="2C9E69D8" w:rsidR="00B91E6F" w:rsidRPr="00BB3D77" w:rsidRDefault="00BE008D" w:rsidP="00CA40FF">
      <w:pPr>
        <w:pStyle w:val="Chart"/>
        <w:spacing w:before="360"/>
      </w:pPr>
      <w:bookmarkStart w:id="14" w:name="_Ref105408799"/>
      <w:r w:rsidRPr="00BB3D77">
        <w:t xml:space="preserve">Chart </w:t>
      </w:r>
      <w:r w:rsidR="00F4140C">
        <w:fldChar w:fldCharType="begin"/>
      </w:r>
      <w:r w:rsidR="00F4140C">
        <w:instrText xml:space="preserve"> SEQ Chart \* ARABIC </w:instrText>
      </w:r>
      <w:r w:rsidR="00F4140C">
        <w:fldChar w:fldCharType="separate"/>
      </w:r>
      <w:r w:rsidR="00220F3D">
        <w:rPr>
          <w:noProof/>
        </w:rPr>
        <w:t>2</w:t>
      </w:r>
      <w:r w:rsidR="00F4140C">
        <w:rPr>
          <w:noProof/>
        </w:rPr>
        <w:fldChar w:fldCharType="end"/>
      </w:r>
      <w:bookmarkEnd w:id="14"/>
    </w:p>
    <w:p w14:paraId="2AA8908E" w14:textId="3F3B854E" w:rsidR="00B91E6F" w:rsidRPr="00BB3D77" w:rsidRDefault="00EA6F21" w:rsidP="00B91E6F">
      <w:pPr>
        <w:pStyle w:val="Chart"/>
      </w:pPr>
      <w:r w:rsidRPr="00BB3D77">
        <w:t xml:space="preserve">Top </w:t>
      </w:r>
      <w:r w:rsidR="00636C53" w:rsidRPr="00BB3D77">
        <w:t>five</w:t>
      </w:r>
      <w:r w:rsidRPr="00BB3D77">
        <w:t xml:space="preserve"> industry sectors by</w:t>
      </w:r>
      <w:r w:rsidR="00BE008D" w:rsidRPr="00BB3D77">
        <w:t xml:space="preserve"> </w:t>
      </w:r>
      <w:r w:rsidRPr="00BB3D77">
        <w:t>total investments</w:t>
      </w:r>
      <w:r w:rsidR="00E545BB" w:rsidRPr="00BB3D77">
        <w:t xml:space="preserve"> (2016-2021)</w:t>
      </w:r>
    </w:p>
    <w:p w14:paraId="1DDF0270" w14:textId="646ED9FE" w:rsidR="00625360" w:rsidRPr="00BB3D77" w:rsidRDefault="00625360" w:rsidP="00625360">
      <w:pPr>
        <w:pStyle w:val="Chart"/>
      </w:pPr>
      <w:r w:rsidRPr="00BB3D77">
        <w:rPr>
          <w:noProof/>
        </w:rPr>
        <w:lastRenderedPageBreak/>
        <w:drawing>
          <wp:inline distT="0" distB="0" distL="0" distR="0" wp14:anchorId="5355DADE" wp14:editId="64FC1AE5">
            <wp:extent cx="5778000" cy="3463200"/>
            <wp:effectExtent l="0" t="0" r="13335" b="4445"/>
            <wp:docPr id="5" name="Chart 5">
              <a:extLst xmlns:a="http://schemas.openxmlformats.org/drawingml/2006/main">
                <a:ext uri="{FF2B5EF4-FFF2-40B4-BE49-F238E27FC236}">
                  <a16:creationId xmlns:a16="http://schemas.microsoft.com/office/drawing/2014/main" id="{0C50740B-D1DF-4D4A-B385-6A883491A6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D48A8F" w14:textId="77777777" w:rsidR="00625360" w:rsidRPr="00BB3D77" w:rsidRDefault="00625360" w:rsidP="00625360">
      <w:pPr>
        <w:pStyle w:val="Body"/>
        <w:keepNext/>
        <w:spacing w:after="360"/>
      </w:pPr>
      <w:bookmarkStart w:id="15" w:name="_Hlk105413159"/>
      <w:r w:rsidRPr="00BB3D77">
        <w:rPr>
          <w:rStyle w:val="ChartSourceChar"/>
        </w:rPr>
        <w:t>Source: NACCA, The Conference Board of Canada</w:t>
      </w:r>
      <w:bookmarkEnd w:id="15"/>
    </w:p>
    <w:p w14:paraId="67D54A79" w14:textId="565A191F" w:rsidR="00E21993" w:rsidRPr="00BB3D77" w:rsidRDefault="00E21993" w:rsidP="00E21993">
      <w:pPr>
        <w:pStyle w:val="Body"/>
      </w:pPr>
      <w:r w:rsidRPr="00BB3D77">
        <w:t xml:space="preserve">The dataset includes </w:t>
      </w:r>
      <w:r w:rsidR="00140277" w:rsidRPr="00BB3D77">
        <w:t>additional</w:t>
      </w:r>
      <w:r w:rsidRPr="00BB3D77">
        <w:t xml:space="preserve"> information that helps characterize client businesses </w:t>
      </w:r>
      <w:r w:rsidR="00140277" w:rsidRPr="00BB3D77">
        <w:t xml:space="preserve">by their </w:t>
      </w:r>
      <w:r w:rsidRPr="00BB3D77">
        <w:t>structure</w:t>
      </w:r>
      <w:r w:rsidR="00140277" w:rsidRPr="00BB3D77">
        <w:t xml:space="preserve"> and location of operations (</w:t>
      </w:r>
      <w:r w:rsidR="009C5D3E" w:rsidRPr="00BB3D77">
        <w:t xml:space="preserve">e.g., </w:t>
      </w:r>
      <w:r w:rsidR="00140277" w:rsidRPr="00BB3D77">
        <w:t>on versus off reserve)</w:t>
      </w:r>
      <w:r w:rsidRPr="00BB3D77">
        <w:t xml:space="preserve">. In terms of </w:t>
      </w:r>
      <w:r w:rsidR="00140277" w:rsidRPr="00BB3D77">
        <w:t xml:space="preserve">business structure and </w:t>
      </w:r>
      <w:r w:rsidRPr="00BB3D77">
        <w:t>the distribution of loans, non-repayable contributions, and client equity, 40 per cent involved incorporated businesses, 24 per cent involved sole proprietorships, 23 per cent involved First Nation Band-operated businesses</w:t>
      </w:r>
      <w:r w:rsidR="00BB0CFF" w:rsidRPr="00BB3D77">
        <w:t xml:space="preserve"> and other community-owned enterprises</w:t>
      </w:r>
      <w:r w:rsidRPr="00BB3D77">
        <w:t>, 11 per cent involved partnerships, and 2 per cent involved other forms such as not-for-profits, cooperatives, and joint ventures.</w:t>
      </w:r>
      <w:r w:rsidR="00140277" w:rsidRPr="00BB3D77">
        <w:t xml:space="preserve"> In terms of</w:t>
      </w:r>
      <w:r w:rsidRPr="00BB3D77">
        <w:t xml:space="preserve"> locational data about business</w:t>
      </w:r>
      <w:r w:rsidR="00140277" w:rsidRPr="00BB3D77">
        <w:t xml:space="preserve"> operations,</w:t>
      </w:r>
      <w:r w:rsidRPr="00BB3D77">
        <w:t xml:space="preserve"> 55 per cent of loans, non-repayable contributions and client equity involved businesses located on reserve.   </w:t>
      </w:r>
    </w:p>
    <w:p w14:paraId="328F636E" w14:textId="4742F171" w:rsidR="00CA3920" w:rsidRPr="00BB3D77" w:rsidRDefault="00DD16BA" w:rsidP="00C13735">
      <w:pPr>
        <w:pStyle w:val="Heading3"/>
      </w:pPr>
      <w:bookmarkStart w:id="16" w:name="_Toc136865077"/>
      <w:r w:rsidRPr="00BB3D77">
        <w:t>Summary of modeling assumptions and outputs</w:t>
      </w:r>
      <w:bookmarkEnd w:id="16"/>
    </w:p>
    <w:p w14:paraId="4ECB55D0" w14:textId="53D120D9" w:rsidR="00E75D9E" w:rsidRPr="00BB3D77" w:rsidRDefault="00E75D9E" w:rsidP="00C8327F">
      <w:pPr>
        <w:pStyle w:val="Body"/>
      </w:pPr>
      <w:r w:rsidRPr="00BB3D77">
        <w:t xml:space="preserve">Our model of </w:t>
      </w:r>
      <w:r w:rsidR="007F3730" w:rsidRPr="00BB3D77">
        <w:t>the economic impacts</w:t>
      </w:r>
      <w:r w:rsidRPr="00BB3D77">
        <w:t xml:space="preserve"> </w:t>
      </w:r>
      <w:r w:rsidR="00076BDC">
        <w:t xml:space="preserve">of </w:t>
      </w:r>
      <w:r w:rsidR="006E748D">
        <w:t>IFI</w:t>
      </w:r>
      <w:r w:rsidR="00076BDC">
        <w:t>-driven investments tied to</w:t>
      </w:r>
      <w:r w:rsidR="005956EE">
        <w:t xml:space="preserve"> ADLA and ABFP </w:t>
      </w:r>
      <w:r w:rsidRPr="00BB3D77">
        <w:t xml:space="preserve">includes </w:t>
      </w:r>
      <w:r w:rsidR="009B031B" w:rsidRPr="00BB3D77">
        <w:t>three primary</w:t>
      </w:r>
      <w:r w:rsidRPr="00BB3D77">
        <w:t xml:space="preserve"> categories of direct, indirect, and induced impacts</w:t>
      </w:r>
      <w:r w:rsidR="007F3730" w:rsidRPr="00BB3D77">
        <w:t>.</w:t>
      </w:r>
      <w:r w:rsidRPr="00BB3D77">
        <w:t xml:space="preserve"> These </w:t>
      </w:r>
      <w:r w:rsidR="009B031B" w:rsidRPr="00BB3D77">
        <w:t>are</w:t>
      </w:r>
      <w:r w:rsidRPr="00BB3D77">
        <w:t xml:space="preserve"> impacts on:</w:t>
      </w:r>
    </w:p>
    <w:p w14:paraId="69A7DC5C" w14:textId="78EA0971" w:rsidR="00E75D9E" w:rsidRPr="00BB3D77" w:rsidRDefault="00E75D9E" w:rsidP="00BE008D">
      <w:pPr>
        <w:pStyle w:val="Body"/>
        <w:numPr>
          <w:ilvl w:val="0"/>
          <w:numId w:val="41"/>
        </w:numPr>
      </w:pPr>
      <w:r w:rsidRPr="00BB3D77">
        <w:t>Gross Domestic Product (GDP) at basic prices;</w:t>
      </w:r>
    </w:p>
    <w:p w14:paraId="67BDA06B" w14:textId="524A1C3A" w:rsidR="00E75D9E" w:rsidRPr="00BB3D77" w:rsidRDefault="00E75D9E" w:rsidP="00BE008D">
      <w:pPr>
        <w:pStyle w:val="Body"/>
        <w:numPr>
          <w:ilvl w:val="0"/>
          <w:numId w:val="41"/>
        </w:numPr>
      </w:pPr>
      <w:r w:rsidRPr="00BB3D77">
        <w:t>Employment; and</w:t>
      </w:r>
    </w:p>
    <w:p w14:paraId="70C01165" w14:textId="5C0472AF" w:rsidR="00E75D9E" w:rsidRPr="00BB3D77" w:rsidRDefault="00E75D9E" w:rsidP="00BE008D">
      <w:pPr>
        <w:pStyle w:val="Body"/>
        <w:numPr>
          <w:ilvl w:val="0"/>
          <w:numId w:val="41"/>
        </w:numPr>
      </w:pPr>
      <w:r w:rsidRPr="00BB3D77">
        <w:t xml:space="preserve">Labour income.  </w:t>
      </w:r>
    </w:p>
    <w:p w14:paraId="13683872" w14:textId="5EA802D2" w:rsidR="00E75D9E" w:rsidRPr="00BB3D77" w:rsidRDefault="00E75D9E" w:rsidP="00C8327F">
      <w:pPr>
        <w:pStyle w:val="Body"/>
      </w:pPr>
      <w:r w:rsidRPr="00BB3D77">
        <w:lastRenderedPageBreak/>
        <w:t xml:space="preserve">The </w:t>
      </w:r>
      <w:r w:rsidR="00182873" w:rsidRPr="00BB3D77">
        <w:t>Conference Board</w:t>
      </w:r>
      <w:r w:rsidRPr="00BB3D77">
        <w:t xml:space="preserve"> model </w:t>
      </w:r>
      <w:r w:rsidR="009B031B" w:rsidRPr="00BB3D77">
        <w:t>estimates</w:t>
      </w:r>
      <w:r w:rsidRPr="00BB3D77">
        <w:t xml:space="preserve"> </w:t>
      </w:r>
      <w:r w:rsidR="009B031B" w:rsidRPr="00BB3D77">
        <w:t xml:space="preserve">these </w:t>
      </w:r>
      <w:r w:rsidRPr="00BB3D77">
        <w:t xml:space="preserve">economic impacts by </w:t>
      </w:r>
      <w:r w:rsidR="00570326" w:rsidRPr="00BB3D77">
        <w:t>combining</w:t>
      </w:r>
      <w:r w:rsidRPr="00BB3D77">
        <w:t xml:space="preserve"> </w:t>
      </w:r>
      <w:r w:rsidR="00182873" w:rsidRPr="00BB3D77">
        <w:t xml:space="preserve">inputs from </w:t>
      </w:r>
      <w:r w:rsidRPr="00BB3D77">
        <w:t xml:space="preserve">the </w:t>
      </w:r>
      <w:r w:rsidR="007F3730" w:rsidRPr="00BB3D77">
        <w:t>NACCA dataset</w:t>
      </w:r>
      <w:r w:rsidRPr="00BB3D77">
        <w:t xml:space="preserve"> with industry specific patterns of business activity </w:t>
      </w:r>
      <w:r w:rsidR="007F3730" w:rsidRPr="00BB3D77">
        <w:t>tied to</w:t>
      </w:r>
      <w:r w:rsidRPr="00BB3D77">
        <w:t xml:space="preserve"> capital investment and operating expenditures for marketing, business consulting</w:t>
      </w:r>
      <w:r w:rsidR="00182873" w:rsidRPr="00BB3D77">
        <w:t>,</w:t>
      </w:r>
      <w:r w:rsidRPr="00BB3D77">
        <w:t xml:space="preserve"> and related support services. The result is a </w:t>
      </w:r>
      <w:r w:rsidR="00570326" w:rsidRPr="00BB3D77">
        <w:t>national</w:t>
      </w:r>
      <w:r w:rsidRPr="00BB3D77">
        <w:t xml:space="preserve"> economic footprint of</w:t>
      </w:r>
      <w:r w:rsidR="00076BDC">
        <w:t xml:space="preserve"> the investments made</w:t>
      </w:r>
      <w:r w:rsidRPr="00BB3D77">
        <w:t xml:space="preserve">.   </w:t>
      </w:r>
    </w:p>
    <w:p w14:paraId="204A1E7F" w14:textId="4C1AAF08" w:rsidR="00E75D9E" w:rsidRPr="00BB3D77" w:rsidRDefault="007F3730" w:rsidP="00C13735">
      <w:pPr>
        <w:pStyle w:val="Heading3"/>
      </w:pPr>
      <w:bookmarkStart w:id="17" w:name="_Toc136865078"/>
      <w:r w:rsidRPr="00BB3D77">
        <w:t xml:space="preserve">The </w:t>
      </w:r>
      <w:r w:rsidR="004450E2">
        <w:t>i</w:t>
      </w:r>
      <w:r w:rsidR="00211D0A" w:rsidRPr="00BB3D77">
        <w:t xml:space="preserve">mpact on </w:t>
      </w:r>
      <w:r w:rsidR="00D515E4">
        <w:t xml:space="preserve">national </w:t>
      </w:r>
      <w:r w:rsidR="00E75D9E" w:rsidRPr="00BB3D77">
        <w:t>GDP</w:t>
      </w:r>
      <w:bookmarkEnd w:id="17"/>
    </w:p>
    <w:p w14:paraId="6088CA1A" w14:textId="497FF36D" w:rsidR="00CE221B" w:rsidRPr="00BB3D77" w:rsidRDefault="00961FC8" w:rsidP="00C8327F">
      <w:pPr>
        <w:pStyle w:val="Body"/>
      </w:pPr>
      <w:r w:rsidRPr="00BB3D77">
        <w:fldChar w:fldCharType="begin"/>
      </w:r>
      <w:r w:rsidRPr="00BB3D77">
        <w:instrText xml:space="preserve"> REF _Ref112334850 \h </w:instrText>
      </w:r>
      <w:r w:rsidR="00FE192A" w:rsidRPr="00BB3D77">
        <w:instrText xml:space="preserve"> \* MERGEFORMAT </w:instrText>
      </w:r>
      <w:r w:rsidRPr="00BB3D77">
        <w:fldChar w:fldCharType="separate"/>
      </w:r>
      <w:r w:rsidR="00220F3D" w:rsidRPr="00BB3D77">
        <w:t xml:space="preserve">Chart </w:t>
      </w:r>
      <w:r w:rsidR="00220F3D">
        <w:rPr>
          <w:noProof/>
        </w:rPr>
        <w:t>3</w:t>
      </w:r>
      <w:r w:rsidRPr="00BB3D77">
        <w:fldChar w:fldCharType="end"/>
      </w:r>
      <w:r w:rsidR="00E75D9E" w:rsidRPr="00BB3D77">
        <w:t xml:space="preserve"> </w:t>
      </w:r>
      <w:r w:rsidR="00F6161D" w:rsidRPr="00BB3D77">
        <w:t>presents</w:t>
      </w:r>
      <w:r w:rsidR="00E75D9E" w:rsidRPr="00BB3D77">
        <w:t xml:space="preserve"> the </w:t>
      </w:r>
      <w:r w:rsidR="00F6161D" w:rsidRPr="00BB3D77">
        <w:t xml:space="preserve">total annual </w:t>
      </w:r>
      <w:r w:rsidR="007461FF" w:rsidRPr="00BB3D77">
        <w:t>impact</w:t>
      </w:r>
      <w:r w:rsidR="00E75D9E" w:rsidRPr="00BB3D77">
        <w:t xml:space="preserve"> </w:t>
      </w:r>
      <w:r w:rsidR="00076BDC">
        <w:t xml:space="preserve">the </w:t>
      </w:r>
      <w:r w:rsidR="006E748D">
        <w:t>IFI</w:t>
      </w:r>
      <w:r w:rsidR="00076BDC">
        <w:t xml:space="preserve">-driven investments had </w:t>
      </w:r>
      <w:r w:rsidR="00E75D9E" w:rsidRPr="00BB3D77">
        <w:t>on GD</w:t>
      </w:r>
      <w:r w:rsidR="00F20FFF" w:rsidRPr="00BB3D77">
        <w:t>P</w:t>
      </w:r>
      <w:r w:rsidR="00F6161D" w:rsidRPr="00BB3D77">
        <w:t xml:space="preserve"> from 2016 to 2021</w:t>
      </w:r>
      <w:r w:rsidR="00E75D9E" w:rsidRPr="00BB3D77">
        <w:t xml:space="preserve">. </w:t>
      </w:r>
      <w:bookmarkStart w:id="18" w:name="_Hlk105413911"/>
      <w:r w:rsidR="00A15CC1" w:rsidRPr="00BB3D77">
        <w:t>Each year</w:t>
      </w:r>
      <w:r w:rsidR="00B91E6F" w:rsidRPr="00BB3D77">
        <w:t xml:space="preserve"> during this period </w:t>
      </w:r>
      <w:r w:rsidR="006E748D">
        <w:t>IFI</w:t>
      </w:r>
      <w:r w:rsidR="007C2374" w:rsidRPr="00BB3D77">
        <w:t>s</w:t>
      </w:r>
      <w:r w:rsidR="001F32CC" w:rsidRPr="00BB3D77">
        <w:t xml:space="preserve"> directed </w:t>
      </w:r>
      <w:r w:rsidR="00A15CC1" w:rsidRPr="00BB3D77">
        <w:t>an average of</w:t>
      </w:r>
      <w:r w:rsidR="00E75D9E" w:rsidRPr="00BB3D77">
        <w:t xml:space="preserve"> </w:t>
      </w:r>
      <w:r w:rsidR="00C23D65" w:rsidRPr="00BB3D77">
        <w:t>$</w:t>
      </w:r>
      <w:r w:rsidR="00F6161D" w:rsidRPr="00BB3D77">
        <w:t>16</w:t>
      </w:r>
      <w:r w:rsidR="00B94A7A" w:rsidRPr="00BB3D77">
        <w:t>3</w:t>
      </w:r>
      <w:r w:rsidR="00F6161D" w:rsidRPr="00BB3D77">
        <w:t xml:space="preserve"> </w:t>
      </w:r>
      <w:r w:rsidR="00E75D9E" w:rsidRPr="00BB3D77">
        <w:t>million</w:t>
      </w:r>
      <w:r w:rsidR="00BD6142" w:rsidRPr="00BB3D77">
        <w:rPr>
          <w:rStyle w:val="FootnoteReference"/>
        </w:rPr>
        <w:footnoteReference w:id="3"/>
      </w:r>
      <w:r w:rsidR="00E75D9E" w:rsidRPr="00BB3D77">
        <w:t xml:space="preserve"> </w:t>
      </w:r>
      <w:r w:rsidR="006E7FEA" w:rsidRPr="00BB3D77">
        <w:t xml:space="preserve">in investments through the ecosystem </w:t>
      </w:r>
      <w:r w:rsidR="00E75D9E" w:rsidRPr="00BB3D77">
        <w:t>(including loans, client equity, and non-repayable contributions).</w:t>
      </w:r>
      <w:r w:rsidR="00B91E6F" w:rsidRPr="00BB3D77">
        <w:t xml:space="preserve"> Their average annual GDP impact was $175 million.</w:t>
      </w:r>
      <w:bookmarkEnd w:id="18"/>
      <w:r w:rsidR="00994DE6" w:rsidRPr="00BB3D77">
        <w:t xml:space="preserve"> Readers should be careful </w:t>
      </w:r>
      <w:r w:rsidR="00237F6A" w:rsidRPr="00BB3D77">
        <w:t>when</w:t>
      </w:r>
      <w:r w:rsidR="00994DE6" w:rsidRPr="00BB3D77">
        <w:t xml:space="preserve"> interpret</w:t>
      </w:r>
      <w:r w:rsidR="00237F6A" w:rsidRPr="00BB3D77">
        <w:t xml:space="preserve">ing </w:t>
      </w:r>
      <w:r w:rsidR="00994DE6" w:rsidRPr="00BB3D77">
        <w:t>trend</w:t>
      </w:r>
      <w:r w:rsidR="00237F6A" w:rsidRPr="00BB3D77">
        <w:t>s</w:t>
      </w:r>
      <w:r w:rsidR="00994DE6" w:rsidRPr="00BB3D77">
        <w:t xml:space="preserve"> from the five years of data. While Chart 3 may appear to indicate a decline in GDP impacts this is largely due to </w:t>
      </w:r>
      <w:r w:rsidR="00AD695B" w:rsidRPr="00BB3D77">
        <w:t>fluctuations in the total</w:t>
      </w:r>
      <w:r w:rsidR="00994DE6" w:rsidRPr="00BB3D77">
        <w:t xml:space="preserve"> annual </w:t>
      </w:r>
      <w:r w:rsidR="00AD695B" w:rsidRPr="00BB3D77">
        <w:t xml:space="preserve">investments </w:t>
      </w:r>
      <w:r w:rsidR="00076BDC">
        <w:t>tied to ABFP and ADLA</w:t>
      </w:r>
      <w:r w:rsidR="00AD695B" w:rsidRPr="00BB3D77">
        <w:t>.</w:t>
      </w:r>
      <w:r w:rsidR="003C2CC7" w:rsidRPr="00BB3D77">
        <w:t xml:space="preserve"> Fiscal year 2018-19 for example saw </w:t>
      </w:r>
      <w:r w:rsidR="00881F09" w:rsidRPr="00BB3D77">
        <w:t>a</w:t>
      </w:r>
      <w:r w:rsidR="00355BBA" w:rsidRPr="00BB3D77">
        <w:t xml:space="preserve">n 11 per cent increase in </w:t>
      </w:r>
      <w:r w:rsidR="00B94A7A" w:rsidRPr="00BB3D77">
        <w:t>investments above the average (</w:t>
      </w:r>
      <w:r w:rsidR="00DD323B" w:rsidRPr="00BB3D77">
        <w:t xml:space="preserve">of $163 million). </w:t>
      </w:r>
    </w:p>
    <w:p w14:paraId="5680A0A3" w14:textId="28A7B32A" w:rsidR="00E75D9E" w:rsidRPr="00BB3D77" w:rsidRDefault="00093130" w:rsidP="00C8327F">
      <w:pPr>
        <w:pStyle w:val="Body"/>
      </w:pPr>
      <w:r w:rsidRPr="00BB3D77">
        <w:t>P</w:t>
      </w:r>
      <w:r w:rsidR="00AF7401" w:rsidRPr="00BB3D77">
        <w:t xml:space="preserve">atterns of </w:t>
      </w:r>
      <w:r w:rsidR="00DF0123" w:rsidRPr="00BB3D77">
        <w:t xml:space="preserve">annual </w:t>
      </w:r>
      <w:r w:rsidR="00AF7401" w:rsidRPr="00BB3D77">
        <w:t>investment also influence</w:t>
      </w:r>
      <w:r w:rsidR="005974E3" w:rsidRPr="00BB3D77">
        <w:t xml:space="preserve"> GDP</w:t>
      </w:r>
      <w:r w:rsidR="00AF7401" w:rsidRPr="00BB3D77">
        <w:t xml:space="preserve">. </w:t>
      </w:r>
      <w:r w:rsidR="00622DEE" w:rsidRPr="00BB3D77">
        <w:t>In</w:t>
      </w:r>
      <w:r w:rsidR="00A86EE2" w:rsidRPr="00BB3D77">
        <w:t xml:space="preserve"> fiscal year 2016</w:t>
      </w:r>
      <w:r w:rsidR="006D0DF4" w:rsidRPr="00BB3D77">
        <w:t>-17</w:t>
      </w:r>
      <w:r w:rsidR="00DF0123" w:rsidRPr="00BB3D77">
        <w:t>, for example</w:t>
      </w:r>
      <w:r w:rsidR="00AF7401" w:rsidRPr="00BB3D77">
        <w:t xml:space="preserve">, </w:t>
      </w:r>
      <w:r w:rsidR="006E748D">
        <w:t>IFI</w:t>
      </w:r>
      <w:r w:rsidR="007C2374" w:rsidRPr="00BB3D77">
        <w:t>s</w:t>
      </w:r>
      <w:r w:rsidR="00AF7401" w:rsidRPr="00BB3D77">
        <w:t xml:space="preserve"> directed </w:t>
      </w:r>
      <w:r w:rsidR="00272950" w:rsidRPr="00BB3D77">
        <w:t xml:space="preserve">substantial </w:t>
      </w:r>
      <w:r w:rsidR="0077499B" w:rsidRPr="00BB3D77">
        <w:t>investments to several capital</w:t>
      </w:r>
      <w:r w:rsidR="00622DEE" w:rsidRPr="00BB3D77">
        <w:t>-</w:t>
      </w:r>
      <w:r w:rsidR="0077499B" w:rsidRPr="00BB3D77">
        <w:t>intensive industries</w:t>
      </w:r>
      <w:r w:rsidR="00C13A37" w:rsidRPr="00BB3D77">
        <w:t>,</w:t>
      </w:r>
      <w:r w:rsidR="0077499B" w:rsidRPr="00BB3D77">
        <w:t xml:space="preserve"> including</w:t>
      </w:r>
      <w:r w:rsidR="00656EC9" w:rsidRPr="00BB3D77">
        <w:t xml:space="preserve"> utilities and agriculture</w:t>
      </w:r>
      <w:r w:rsidR="00CE221B" w:rsidRPr="00BB3D77">
        <w:t>. This pattern</w:t>
      </w:r>
      <w:r w:rsidR="00656EC9" w:rsidRPr="00BB3D77">
        <w:t xml:space="preserve"> </w:t>
      </w:r>
      <w:r w:rsidR="006D0DF4" w:rsidRPr="00BB3D77">
        <w:t>contributed to</w:t>
      </w:r>
      <w:r w:rsidR="00656EC9" w:rsidRPr="00BB3D77">
        <w:t xml:space="preserve"> larger </w:t>
      </w:r>
      <w:r w:rsidR="00BC2440" w:rsidRPr="00BB3D77">
        <w:t xml:space="preserve">annual </w:t>
      </w:r>
      <w:r w:rsidR="00272950" w:rsidRPr="00BB3D77">
        <w:t xml:space="preserve">GDP </w:t>
      </w:r>
      <w:r w:rsidR="00656EC9" w:rsidRPr="00BB3D77">
        <w:t>impact</w:t>
      </w:r>
      <w:r w:rsidR="00272950" w:rsidRPr="00BB3D77">
        <w:t>s</w:t>
      </w:r>
      <w:r w:rsidR="00656EC9" w:rsidRPr="00BB3D77">
        <w:t xml:space="preserve"> compared to </w:t>
      </w:r>
      <w:r w:rsidR="00394A61" w:rsidRPr="00BB3D77">
        <w:t>other</w:t>
      </w:r>
      <w:r w:rsidR="00656EC9" w:rsidRPr="00BB3D77">
        <w:t xml:space="preserve"> years</w:t>
      </w:r>
      <w:r w:rsidR="00394A61" w:rsidRPr="00BB3D77">
        <w:t xml:space="preserve"> in the series</w:t>
      </w:r>
      <w:r w:rsidR="00656EC9" w:rsidRPr="00BB3D77">
        <w:t>.</w:t>
      </w:r>
      <w:r w:rsidR="0077499B" w:rsidRPr="00BB3D77">
        <w:t xml:space="preserve">  </w:t>
      </w:r>
      <w:r w:rsidR="00E75D9E" w:rsidRPr="00BB3D77">
        <w:t xml:space="preserve">   </w:t>
      </w:r>
    </w:p>
    <w:p w14:paraId="32A62C18" w14:textId="20AA5F98" w:rsidR="00B91E6F" w:rsidRPr="00BB3D77" w:rsidRDefault="00F6161D" w:rsidP="00B91E6F">
      <w:pPr>
        <w:pStyle w:val="Chart"/>
      </w:pPr>
      <w:bookmarkStart w:id="19" w:name="_Ref112334850"/>
      <w:r w:rsidRPr="00BB3D77">
        <w:t xml:space="preserve">Chart </w:t>
      </w:r>
      <w:r w:rsidR="00F4140C">
        <w:fldChar w:fldCharType="begin"/>
      </w:r>
      <w:r w:rsidR="00F4140C">
        <w:instrText xml:space="preserve"> SEQ Chart \* ARABIC </w:instrText>
      </w:r>
      <w:r w:rsidR="00F4140C">
        <w:fldChar w:fldCharType="separate"/>
      </w:r>
      <w:r w:rsidR="00220F3D">
        <w:rPr>
          <w:noProof/>
        </w:rPr>
        <w:t>3</w:t>
      </w:r>
      <w:r w:rsidR="00F4140C">
        <w:rPr>
          <w:noProof/>
        </w:rPr>
        <w:fldChar w:fldCharType="end"/>
      </w:r>
      <w:bookmarkEnd w:id="19"/>
    </w:p>
    <w:p w14:paraId="2116D860" w14:textId="5EB00EEA" w:rsidR="00F6161D" w:rsidRPr="00BB3D77" w:rsidRDefault="00F6161D" w:rsidP="00B91E6F">
      <w:pPr>
        <w:pStyle w:val="Chart"/>
      </w:pPr>
      <w:r w:rsidRPr="00BB3D77">
        <w:t>The annual impact on</w:t>
      </w:r>
      <w:r w:rsidR="00D515E4">
        <w:t xml:space="preserve"> national</w:t>
      </w:r>
      <w:r w:rsidRPr="00BB3D77">
        <w:t xml:space="preserve"> GDP (2020 constant dollars)</w:t>
      </w:r>
    </w:p>
    <w:p w14:paraId="10303B92" w14:textId="77777777" w:rsidR="00B91E6F" w:rsidRPr="00BB3D77" w:rsidRDefault="00B91E6F" w:rsidP="00B91E6F">
      <w:pPr>
        <w:pStyle w:val="Chart"/>
      </w:pPr>
    </w:p>
    <w:p w14:paraId="456B00A0" w14:textId="77777777" w:rsidR="00F6161D" w:rsidRPr="00BB3D77" w:rsidRDefault="00F6161D" w:rsidP="00B91E6F">
      <w:pPr>
        <w:pStyle w:val="Body"/>
        <w:spacing w:after="0" w:line="240" w:lineRule="auto"/>
      </w:pPr>
      <w:r w:rsidRPr="00BB3D77">
        <w:rPr>
          <w:noProof/>
        </w:rPr>
        <w:lastRenderedPageBreak/>
        <w:drawing>
          <wp:inline distT="0" distB="0" distL="0" distR="0" wp14:anchorId="1250E712" wp14:editId="19EA39B2">
            <wp:extent cx="5778000" cy="3463200"/>
            <wp:effectExtent l="0" t="0" r="13335" b="4445"/>
            <wp:docPr id="3" name="Chart 3">
              <a:extLst xmlns:a="http://schemas.openxmlformats.org/drawingml/2006/main">
                <a:ext uri="{FF2B5EF4-FFF2-40B4-BE49-F238E27FC236}">
                  <a16:creationId xmlns:a16="http://schemas.microsoft.com/office/drawing/2014/main" id="{1D2AB337-CC9E-60DC-42BF-56729C17DE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E0E153" w14:textId="612E39C4" w:rsidR="00F6161D" w:rsidRPr="00BB3D77" w:rsidRDefault="00F6161D" w:rsidP="00C8327F">
      <w:pPr>
        <w:pStyle w:val="Body"/>
      </w:pPr>
      <w:r w:rsidRPr="00BB3D77">
        <w:rPr>
          <w:rStyle w:val="ChartSourceChar"/>
        </w:rPr>
        <w:t>Source: NACCA, The Conference Board of Canada</w:t>
      </w:r>
    </w:p>
    <w:p w14:paraId="1F9F7764" w14:textId="0DDD2935" w:rsidR="00E75D9E" w:rsidRDefault="00B91E6F" w:rsidP="00C82B09">
      <w:pPr>
        <w:pStyle w:val="Body"/>
        <w:spacing w:before="240"/>
      </w:pPr>
      <w:r w:rsidRPr="00BB3D77">
        <w:t xml:space="preserve">In </w:t>
      </w:r>
      <w:r w:rsidR="00BB483F" w:rsidRPr="00BB3D77">
        <w:t>summary</w:t>
      </w:r>
      <w:r w:rsidRPr="00BB3D77">
        <w:t xml:space="preserve">, from 2016 to 2021, the total GDP impact </w:t>
      </w:r>
      <w:r w:rsidR="00076BDC">
        <w:t xml:space="preserve">of </w:t>
      </w:r>
      <w:r w:rsidR="006E748D">
        <w:t>IFI</w:t>
      </w:r>
      <w:r w:rsidR="00076BDC">
        <w:t xml:space="preserve">-driven investments tied to ABFP and ADLA </w:t>
      </w:r>
      <w:r w:rsidRPr="00BB3D77">
        <w:t xml:space="preserve">was </w:t>
      </w:r>
      <w:r w:rsidR="00885854" w:rsidRPr="00BB3D77">
        <w:t>$876.6 million</w:t>
      </w:r>
      <w:r w:rsidR="00742AF5" w:rsidRPr="00BB3D77">
        <w:t xml:space="preserve"> (2020 constant dollars)</w:t>
      </w:r>
      <w:r w:rsidR="00885854" w:rsidRPr="00BB3D77">
        <w:t>.</w:t>
      </w:r>
      <w:r w:rsidR="0045749B" w:rsidRPr="00BB3D77">
        <w:t xml:space="preserve">  Relative to the total investment of </w:t>
      </w:r>
      <w:r w:rsidR="0045749B" w:rsidRPr="00BB3D77">
        <w:rPr>
          <w:b/>
        </w:rPr>
        <w:t>$</w:t>
      </w:r>
      <w:r w:rsidR="00BD6142" w:rsidRPr="00BB3D77">
        <w:rPr>
          <w:b/>
        </w:rPr>
        <w:t>813 million</w:t>
      </w:r>
      <w:r w:rsidR="0045749B" w:rsidRPr="00BB3D77">
        <w:t>, these results imply that the simple multiplier</w:t>
      </w:r>
      <w:r w:rsidR="0045749B" w:rsidRPr="00BB3D77">
        <w:rPr>
          <w:rStyle w:val="FootnoteReference"/>
        </w:rPr>
        <w:footnoteReference w:id="4"/>
      </w:r>
      <w:r w:rsidR="0045749B" w:rsidRPr="00BB3D77">
        <w:t xml:space="preserve"> for investment, including direct and indirect impacts, was </w:t>
      </w:r>
      <w:r w:rsidR="0045749B" w:rsidRPr="00BB3D77">
        <w:rPr>
          <w:b/>
        </w:rPr>
        <w:t>0.</w:t>
      </w:r>
      <w:r w:rsidR="007A063F" w:rsidRPr="00BB3D77">
        <w:rPr>
          <w:b/>
        </w:rPr>
        <w:t>85</w:t>
      </w:r>
      <w:r w:rsidR="0045749B" w:rsidRPr="00BB3D77">
        <w:t>; while the total multiplier</w:t>
      </w:r>
      <w:r w:rsidR="0045749B" w:rsidRPr="00BB3D77">
        <w:rPr>
          <w:rStyle w:val="FootnoteReference"/>
        </w:rPr>
        <w:footnoteReference w:id="5"/>
      </w:r>
      <w:r w:rsidR="0045749B" w:rsidRPr="00BB3D77">
        <w:t xml:space="preserve">, including induced, on top of direct and indirect impacts, was </w:t>
      </w:r>
      <w:r w:rsidR="007A063F" w:rsidRPr="00BB3D77">
        <w:rPr>
          <w:b/>
        </w:rPr>
        <w:t>1.08</w:t>
      </w:r>
      <w:r w:rsidR="0045749B" w:rsidRPr="00BB3D77">
        <w:t>. Expressing it differently, every dollar of investment, including loans, client equity, and non-repayable contributions</w:t>
      </w:r>
      <w:r w:rsidR="00D515E4">
        <w:t xml:space="preserve"> tied to </w:t>
      </w:r>
      <w:r w:rsidR="0045749B" w:rsidRPr="00BB3D77">
        <w:t>ABFP</w:t>
      </w:r>
      <w:r w:rsidR="00D515E4">
        <w:t>/ADLA</w:t>
      </w:r>
      <w:r w:rsidR="0045749B" w:rsidRPr="00BB3D77">
        <w:t xml:space="preserve"> stimulated </w:t>
      </w:r>
      <w:r w:rsidR="0045749B" w:rsidRPr="00BB3D77">
        <w:rPr>
          <w:b/>
        </w:rPr>
        <w:t>$</w:t>
      </w:r>
      <w:r w:rsidR="00F6159F" w:rsidRPr="00BB3D77">
        <w:rPr>
          <w:b/>
        </w:rPr>
        <w:t>1</w:t>
      </w:r>
      <w:r w:rsidR="0045749B" w:rsidRPr="00BB3D77">
        <w:rPr>
          <w:b/>
        </w:rPr>
        <w:t>.</w:t>
      </w:r>
      <w:r w:rsidR="00F6159F" w:rsidRPr="00BB3D77">
        <w:rPr>
          <w:b/>
        </w:rPr>
        <w:t>08</w:t>
      </w:r>
      <w:r w:rsidR="0045749B" w:rsidRPr="00BB3D77">
        <w:t xml:space="preserve"> in GDP.</w:t>
      </w:r>
    </w:p>
    <w:p w14:paraId="7A480492" w14:textId="131EFC4C" w:rsidR="00076BDC" w:rsidRPr="00BB3D77" w:rsidRDefault="00362416" w:rsidP="00362416">
      <w:pPr>
        <w:pStyle w:val="Body"/>
        <w:spacing w:before="240"/>
      </w:pPr>
      <w:r>
        <w:t>We can also look at GDP impact r</w:t>
      </w:r>
      <w:r w:rsidR="00FE0518">
        <w:t xml:space="preserve">elative to the </w:t>
      </w:r>
      <w:r w:rsidR="006E748D">
        <w:t>IFI</w:t>
      </w:r>
      <w:r w:rsidR="00FE0518">
        <w:t xml:space="preserve"> </w:t>
      </w:r>
      <w:r>
        <w:t xml:space="preserve">loans </w:t>
      </w:r>
      <w:r w:rsidR="00FE0518">
        <w:t>tied to ABFP and ADLA</w:t>
      </w:r>
      <w:r>
        <w:t>. From this perspective</w:t>
      </w:r>
      <w:r w:rsidR="00B54470">
        <w:t>,</w:t>
      </w:r>
      <w:r w:rsidR="00FE0518">
        <w:t xml:space="preserve"> for </w:t>
      </w:r>
      <w:r w:rsidRPr="00362416">
        <w:t xml:space="preserve">every $1 </w:t>
      </w:r>
      <w:r w:rsidR="006E748D">
        <w:t>IFI</w:t>
      </w:r>
      <w:r w:rsidRPr="00362416">
        <w:t>s lent</w:t>
      </w:r>
      <w:r>
        <w:t xml:space="preserve"> out</w:t>
      </w:r>
      <w:r w:rsidR="00B54470">
        <w:t>,</w:t>
      </w:r>
      <w:r w:rsidRPr="00362416">
        <w:t xml:space="preserve"> the economy produced $3.6 in total GDP</w:t>
      </w:r>
      <w:r>
        <w:t xml:space="preserve">. This is due </w:t>
      </w:r>
      <w:r w:rsidRPr="00362416">
        <w:t xml:space="preserve">in part to the </w:t>
      </w:r>
      <w:r>
        <w:t>matching funds of other commercial lenders</w:t>
      </w:r>
      <w:r w:rsidRPr="00362416">
        <w:t>, client</w:t>
      </w:r>
      <w:r>
        <w:t>s</w:t>
      </w:r>
      <w:r w:rsidRPr="00362416">
        <w:t xml:space="preserve">, and </w:t>
      </w:r>
      <w:r>
        <w:t xml:space="preserve">various </w:t>
      </w:r>
      <w:r w:rsidRPr="00362416">
        <w:t xml:space="preserve">government </w:t>
      </w:r>
      <w:r>
        <w:t>programs</w:t>
      </w:r>
      <w:r w:rsidRPr="00362416">
        <w:t xml:space="preserve"> </w:t>
      </w:r>
      <w:r>
        <w:t xml:space="preserve">that </w:t>
      </w:r>
      <w:r w:rsidR="006E748D">
        <w:t>IFI</w:t>
      </w:r>
      <w:r w:rsidRPr="00362416">
        <w:t>s brought together</w:t>
      </w:r>
      <w:r>
        <w:t xml:space="preserve"> with each loan</w:t>
      </w:r>
      <w:r w:rsidRPr="00362416">
        <w:t>.</w:t>
      </w:r>
      <w:r>
        <w:t xml:space="preserve"> The </w:t>
      </w:r>
      <w:r w:rsidR="006E748D">
        <w:t>IFI</w:t>
      </w:r>
      <w:r>
        <w:t xml:space="preserve">s’ capacity to attract substantial matching funds </w:t>
      </w:r>
      <w:r w:rsidR="00B54470">
        <w:t xml:space="preserve">amplifies their economic impact and </w:t>
      </w:r>
      <w:r>
        <w:t xml:space="preserve">highlights their skill at brokering financing arrangements between other lenders, clients, and government programs. </w:t>
      </w:r>
    </w:p>
    <w:p w14:paraId="3B2CF51F" w14:textId="76DF9C4D" w:rsidR="00E75D9E" w:rsidRPr="00BB3D77" w:rsidRDefault="00B94986" w:rsidP="00C13735">
      <w:pPr>
        <w:pStyle w:val="Heading3"/>
      </w:pPr>
      <w:bookmarkStart w:id="20" w:name="_Toc136865079"/>
      <w:r w:rsidRPr="00BB3D77">
        <w:lastRenderedPageBreak/>
        <w:t>The impact</w:t>
      </w:r>
      <w:r w:rsidR="00211D0A" w:rsidRPr="00BB3D77">
        <w:t xml:space="preserve"> on employment</w:t>
      </w:r>
      <w:bookmarkEnd w:id="20"/>
    </w:p>
    <w:p w14:paraId="5B355939" w14:textId="4A29CD2A" w:rsidR="00C82B09" w:rsidRPr="00BB3D77" w:rsidRDefault="00882699" w:rsidP="00363BFD">
      <w:pPr>
        <w:pStyle w:val="Body"/>
      </w:pPr>
      <w:r w:rsidRPr="00BB3D77">
        <w:fldChar w:fldCharType="begin"/>
      </w:r>
      <w:r w:rsidRPr="00BB3D77">
        <w:instrText xml:space="preserve"> REF _Ref105415075 \h </w:instrText>
      </w:r>
      <w:r w:rsidR="00FE192A" w:rsidRPr="00BB3D77">
        <w:instrText xml:space="preserve"> \* MERGEFORMAT </w:instrText>
      </w:r>
      <w:r w:rsidRPr="00BB3D77">
        <w:fldChar w:fldCharType="separate"/>
      </w:r>
      <w:r w:rsidR="00220F3D" w:rsidRPr="00BB3D77">
        <w:t xml:space="preserve">Chart </w:t>
      </w:r>
      <w:r w:rsidR="00220F3D">
        <w:rPr>
          <w:noProof/>
        </w:rPr>
        <w:t>4</w:t>
      </w:r>
      <w:r w:rsidRPr="00BB3D77">
        <w:fldChar w:fldCharType="end"/>
      </w:r>
      <w:r w:rsidR="00E75D9E" w:rsidRPr="00BB3D77">
        <w:t xml:space="preserve"> </w:t>
      </w:r>
      <w:r w:rsidR="00885854" w:rsidRPr="00BB3D77">
        <w:t xml:space="preserve">presents the total annual </w:t>
      </w:r>
      <w:r w:rsidR="00B54470">
        <w:t xml:space="preserve">employment </w:t>
      </w:r>
      <w:r w:rsidR="00885854" w:rsidRPr="00BB3D77">
        <w:t xml:space="preserve">impacts </w:t>
      </w:r>
      <w:r w:rsidR="00B54470">
        <w:t xml:space="preserve">of </w:t>
      </w:r>
      <w:r w:rsidR="006E748D">
        <w:t>IFI</w:t>
      </w:r>
      <w:r w:rsidR="00B54470">
        <w:t xml:space="preserve">-driven investments tied to ABFP and ADLA </w:t>
      </w:r>
      <w:r w:rsidR="00885854" w:rsidRPr="00BB3D77">
        <w:t>from 2016 to 2021. Each year during this period, the average $16</w:t>
      </w:r>
      <w:r w:rsidR="003374E7" w:rsidRPr="00BB3D77">
        <w:t>3</w:t>
      </w:r>
      <w:r w:rsidR="00885854" w:rsidRPr="00BB3D77">
        <w:t xml:space="preserve"> million in investments through the ecosystem supported an average of 2</w:t>
      </w:r>
      <w:r w:rsidR="0091705F" w:rsidRPr="00BB3D77">
        <w:t>,</w:t>
      </w:r>
      <w:r w:rsidR="00885854" w:rsidRPr="00BB3D77">
        <w:t>426 full time equivalent jobs</w:t>
      </w:r>
      <w:r w:rsidR="002A0ECF" w:rsidRPr="00BB3D77">
        <w:t>.</w:t>
      </w:r>
      <w:r w:rsidR="001D15CF" w:rsidRPr="00BB3D77">
        <w:rPr>
          <w:rStyle w:val="FootnoteReference"/>
        </w:rPr>
        <w:footnoteReference w:id="6"/>
      </w:r>
      <w:r w:rsidR="00885854" w:rsidRPr="00BB3D77">
        <w:t xml:space="preserve"> </w:t>
      </w:r>
    </w:p>
    <w:p w14:paraId="5D60538B" w14:textId="7EEDD3E8" w:rsidR="00C82B09" w:rsidRPr="00BB3D77" w:rsidRDefault="00C82B09" w:rsidP="00C82B09">
      <w:pPr>
        <w:pStyle w:val="Chart"/>
      </w:pPr>
    </w:p>
    <w:p w14:paraId="03C6FE07" w14:textId="7D67A5B4" w:rsidR="00363BFD" w:rsidRPr="00BB3D77" w:rsidRDefault="00363BFD" w:rsidP="00363BFD">
      <w:pPr>
        <w:pStyle w:val="Chart"/>
      </w:pPr>
      <w:bookmarkStart w:id="21" w:name="_Ref105415075"/>
      <w:r w:rsidRPr="00BB3D77">
        <w:t xml:space="preserve">Chart </w:t>
      </w:r>
      <w:r w:rsidR="00F4140C">
        <w:fldChar w:fldCharType="begin"/>
      </w:r>
      <w:r w:rsidR="00F4140C">
        <w:instrText xml:space="preserve"> SEQ Chart \* ARABIC </w:instrText>
      </w:r>
      <w:r w:rsidR="00F4140C">
        <w:fldChar w:fldCharType="separate"/>
      </w:r>
      <w:r w:rsidR="00220F3D">
        <w:rPr>
          <w:noProof/>
        </w:rPr>
        <w:t>4</w:t>
      </w:r>
      <w:r w:rsidR="00F4140C">
        <w:rPr>
          <w:noProof/>
        </w:rPr>
        <w:fldChar w:fldCharType="end"/>
      </w:r>
      <w:bookmarkEnd w:id="21"/>
      <w:r w:rsidRPr="00BB3D77">
        <w:t xml:space="preserve"> </w:t>
      </w:r>
    </w:p>
    <w:p w14:paraId="3BB3C99D" w14:textId="00DE3F7A" w:rsidR="00363BFD" w:rsidRPr="00BB3D77" w:rsidRDefault="00363BFD" w:rsidP="00363BFD">
      <w:pPr>
        <w:pStyle w:val="Chart"/>
      </w:pPr>
      <w:r w:rsidRPr="00BB3D77">
        <w:t>The annual impact on employment (jobs full time equivalent)</w:t>
      </w:r>
    </w:p>
    <w:p w14:paraId="6B9124C7" w14:textId="5DEF7251" w:rsidR="00C82B09" w:rsidRPr="00BB3D77" w:rsidRDefault="00C82B09" w:rsidP="00C8327F">
      <w:pPr>
        <w:pStyle w:val="Body"/>
      </w:pPr>
      <w:r w:rsidRPr="00BB3D77">
        <w:rPr>
          <w:noProof/>
        </w:rPr>
        <w:drawing>
          <wp:inline distT="0" distB="0" distL="0" distR="0" wp14:anchorId="6A1C7E72" wp14:editId="04C0B121">
            <wp:extent cx="5778000" cy="3463200"/>
            <wp:effectExtent l="0" t="0" r="13335" b="4445"/>
            <wp:docPr id="6" name="Chart 6">
              <a:extLst xmlns:a="http://schemas.openxmlformats.org/drawingml/2006/main">
                <a:ext uri="{FF2B5EF4-FFF2-40B4-BE49-F238E27FC236}">
                  <a16:creationId xmlns:a16="http://schemas.microsoft.com/office/drawing/2014/main" id="{3D9C5D59-3062-85D1-EDDA-EB72E36108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60172BB" w14:textId="12894EF4" w:rsidR="00C82B09" w:rsidRPr="00BB3D77" w:rsidRDefault="00C82B09" w:rsidP="00C8327F">
      <w:pPr>
        <w:pStyle w:val="Body"/>
      </w:pPr>
      <w:r w:rsidRPr="00BB3D77">
        <w:rPr>
          <w:rStyle w:val="ChartSourceChar"/>
        </w:rPr>
        <w:t>Source: NACCA, The Conference Board of Canada</w:t>
      </w:r>
    </w:p>
    <w:p w14:paraId="46C478E8" w14:textId="19CF0FC1" w:rsidR="00E75D9E" w:rsidRPr="00BB3D77" w:rsidRDefault="00182873" w:rsidP="00C82B09">
      <w:pPr>
        <w:pStyle w:val="Body"/>
        <w:spacing w:before="240"/>
      </w:pPr>
      <w:r w:rsidRPr="00BB3D77">
        <w:t>Summing up</w:t>
      </w:r>
      <w:r w:rsidR="00885854" w:rsidRPr="00BB3D77">
        <w:t xml:space="preserve"> from 2016 to 2021</w:t>
      </w:r>
      <w:r w:rsidRPr="00BB3D77">
        <w:t>,</w:t>
      </w:r>
      <w:r w:rsidR="00885854" w:rsidRPr="00BB3D77">
        <w:t xml:space="preserve"> the </w:t>
      </w:r>
      <w:r w:rsidR="006E748D">
        <w:t>IFI</w:t>
      </w:r>
      <w:r w:rsidR="00B54470">
        <w:t>-driven</w:t>
      </w:r>
      <w:r w:rsidR="00BB483F" w:rsidRPr="00BB3D77">
        <w:t xml:space="preserve"> investments </w:t>
      </w:r>
      <w:r w:rsidR="00B54470">
        <w:t xml:space="preserve">tied to ABFP and ADLA </w:t>
      </w:r>
      <w:r w:rsidR="00BB483F" w:rsidRPr="00BB3D77">
        <w:t>supported a total of 12,129 full time equivalent jobs</w:t>
      </w:r>
      <w:r w:rsidR="00C36FC0" w:rsidRPr="00BB3D77">
        <w:t xml:space="preserve">. </w:t>
      </w:r>
      <w:r w:rsidR="003D714E" w:rsidRPr="00BB3D77">
        <w:t>Relative to the total investment of $813 million,</w:t>
      </w:r>
      <w:r w:rsidR="00CE073D" w:rsidRPr="00BB3D77">
        <w:t xml:space="preserve"> the</w:t>
      </w:r>
      <w:r w:rsidR="00C36FC0" w:rsidRPr="00BB3D77">
        <w:t xml:space="preserve"> total </w:t>
      </w:r>
      <w:r w:rsidR="003D714E" w:rsidRPr="00BB3D77">
        <w:t xml:space="preserve">jobs </w:t>
      </w:r>
      <w:r w:rsidR="00C36FC0" w:rsidRPr="00BB3D77">
        <w:t>multiplier</w:t>
      </w:r>
      <w:r w:rsidR="00CE073D" w:rsidRPr="00BB3D77">
        <w:t xml:space="preserve"> </w:t>
      </w:r>
      <w:r w:rsidR="00C36FC0" w:rsidRPr="00BB3D77">
        <w:t xml:space="preserve">was </w:t>
      </w:r>
      <w:r w:rsidR="004223C0" w:rsidRPr="00BB3D77">
        <w:t>0</w:t>
      </w:r>
      <w:r w:rsidR="00C36FC0" w:rsidRPr="00BB3D77">
        <w:t>.0</w:t>
      </w:r>
      <w:r w:rsidR="004223C0" w:rsidRPr="00BB3D77">
        <w:t>15</w:t>
      </w:r>
      <w:r w:rsidR="00C36FC0" w:rsidRPr="00BB3D77">
        <w:t>.</w:t>
      </w:r>
    </w:p>
    <w:p w14:paraId="2CB3A734" w14:textId="0F254881" w:rsidR="00E75D9E" w:rsidRPr="00BB3D77" w:rsidRDefault="00211D0A" w:rsidP="00C13735">
      <w:pPr>
        <w:pStyle w:val="Heading3"/>
      </w:pPr>
      <w:bookmarkStart w:id="22" w:name="_Toc136865080"/>
      <w:r w:rsidRPr="00BB3D77">
        <w:t>The impact on</w:t>
      </w:r>
      <w:r w:rsidR="00E75D9E" w:rsidRPr="00BB3D77">
        <w:t xml:space="preserve"> labour income</w:t>
      </w:r>
      <w:bookmarkEnd w:id="22"/>
    </w:p>
    <w:p w14:paraId="4AD7409F" w14:textId="4CA50379" w:rsidR="00C96B19" w:rsidRPr="00BB3D77" w:rsidRDefault="00882699" w:rsidP="00363BFD">
      <w:pPr>
        <w:pStyle w:val="Body"/>
      </w:pPr>
      <w:r w:rsidRPr="00BB3D77">
        <w:lastRenderedPageBreak/>
        <w:fldChar w:fldCharType="begin"/>
      </w:r>
      <w:r w:rsidRPr="00BB3D77">
        <w:instrText xml:space="preserve"> REF _Ref114670442 \h </w:instrText>
      </w:r>
      <w:r w:rsidR="00FE192A" w:rsidRPr="00BB3D77">
        <w:instrText xml:space="preserve"> \* MERGEFORMAT </w:instrText>
      </w:r>
      <w:r w:rsidRPr="00BB3D77">
        <w:fldChar w:fldCharType="separate"/>
      </w:r>
      <w:r w:rsidR="00220F3D" w:rsidRPr="00BB3D77">
        <w:t xml:space="preserve">Chart </w:t>
      </w:r>
      <w:r w:rsidR="00220F3D">
        <w:rPr>
          <w:noProof/>
        </w:rPr>
        <w:t>5</w:t>
      </w:r>
      <w:r w:rsidRPr="00BB3D77">
        <w:fldChar w:fldCharType="end"/>
      </w:r>
      <w:r w:rsidR="00E75D9E" w:rsidRPr="00BB3D77">
        <w:t xml:space="preserve"> is closely tied to </w:t>
      </w:r>
      <w:r w:rsidR="00363BFD" w:rsidRPr="00BB3D77">
        <w:fldChar w:fldCharType="begin"/>
      </w:r>
      <w:r w:rsidR="00363BFD" w:rsidRPr="00BB3D77">
        <w:instrText xml:space="preserve"> REF _Ref105415075 \h </w:instrText>
      </w:r>
      <w:r w:rsidR="0089364D" w:rsidRPr="00BB3D77">
        <w:instrText xml:space="preserve"> \* MERGEFORMAT </w:instrText>
      </w:r>
      <w:r w:rsidR="00363BFD" w:rsidRPr="00BB3D77">
        <w:fldChar w:fldCharType="separate"/>
      </w:r>
      <w:r w:rsidR="00220F3D" w:rsidRPr="00BB3D77">
        <w:t xml:space="preserve">Chart </w:t>
      </w:r>
      <w:r w:rsidR="00220F3D">
        <w:rPr>
          <w:noProof/>
        </w:rPr>
        <w:t>4</w:t>
      </w:r>
      <w:r w:rsidR="00363BFD" w:rsidRPr="00BB3D77">
        <w:fldChar w:fldCharType="end"/>
      </w:r>
      <w:r w:rsidR="00E75D9E" w:rsidRPr="00BB3D77">
        <w:t xml:space="preserve"> and presents the </w:t>
      </w:r>
      <w:r w:rsidR="00363BFD" w:rsidRPr="00BB3D77">
        <w:t xml:space="preserve">total annual </w:t>
      </w:r>
      <w:r w:rsidR="00E75D9E" w:rsidRPr="00BB3D77">
        <w:t>impacts on labour income</w:t>
      </w:r>
      <w:r w:rsidR="00363BFD" w:rsidRPr="00BB3D77">
        <w:t xml:space="preserve"> from 2016 to 2021. Each year during this period, the average $16</w:t>
      </w:r>
      <w:r w:rsidR="008F32F4" w:rsidRPr="00BB3D77">
        <w:t>3</w:t>
      </w:r>
      <w:r w:rsidR="00363BFD" w:rsidRPr="00BB3D77">
        <w:t xml:space="preserve"> million in investments through the ecosystem supported an average of $103 million in labour income. </w:t>
      </w:r>
    </w:p>
    <w:p w14:paraId="783A9474" w14:textId="6B7767DB" w:rsidR="00C96B19" w:rsidRPr="00BB3D77" w:rsidRDefault="00C96B19" w:rsidP="00C96B19">
      <w:pPr>
        <w:pStyle w:val="Chart"/>
      </w:pPr>
      <w:bookmarkStart w:id="23" w:name="_Ref114670442"/>
      <w:r w:rsidRPr="00BB3D77">
        <w:t xml:space="preserve">Chart </w:t>
      </w:r>
      <w:r w:rsidR="00F4140C">
        <w:fldChar w:fldCharType="begin"/>
      </w:r>
      <w:r w:rsidR="00F4140C">
        <w:instrText xml:space="preserve"> SEQ Chart \* ARABIC </w:instrText>
      </w:r>
      <w:r w:rsidR="00F4140C">
        <w:fldChar w:fldCharType="separate"/>
      </w:r>
      <w:r w:rsidR="00220F3D">
        <w:rPr>
          <w:noProof/>
        </w:rPr>
        <w:t>5</w:t>
      </w:r>
      <w:r w:rsidR="00F4140C">
        <w:rPr>
          <w:noProof/>
        </w:rPr>
        <w:fldChar w:fldCharType="end"/>
      </w:r>
      <w:bookmarkEnd w:id="23"/>
      <w:r w:rsidRPr="00BB3D77">
        <w:t xml:space="preserve"> </w:t>
      </w:r>
    </w:p>
    <w:p w14:paraId="5F4FF05D" w14:textId="199FFB33" w:rsidR="00C96B19" w:rsidRPr="00BB3D77" w:rsidRDefault="00C96B19" w:rsidP="00C96B19">
      <w:pPr>
        <w:pStyle w:val="Chart"/>
      </w:pPr>
      <w:r w:rsidRPr="00BB3D77">
        <w:t>The annual impact on labour income (2020 constant dollars)</w:t>
      </w:r>
    </w:p>
    <w:p w14:paraId="6253421F" w14:textId="4B7E4FBF" w:rsidR="00E7105F" w:rsidRPr="00BB3D77" w:rsidRDefault="00C96B19" w:rsidP="00363BFD">
      <w:pPr>
        <w:pStyle w:val="Body"/>
      </w:pPr>
      <w:r w:rsidRPr="00BB3D77">
        <w:rPr>
          <w:noProof/>
        </w:rPr>
        <w:drawing>
          <wp:inline distT="0" distB="0" distL="0" distR="0" wp14:anchorId="79C9FA5B" wp14:editId="640B28D8">
            <wp:extent cx="5778000" cy="3463200"/>
            <wp:effectExtent l="0" t="0" r="13335" b="4445"/>
            <wp:docPr id="7" name="Chart 7">
              <a:extLst xmlns:a="http://schemas.openxmlformats.org/drawingml/2006/main">
                <a:ext uri="{FF2B5EF4-FFF2-40B4-BE49-F238E27FC236}">
                  <a16:creationId xmlns:a16="http://schemas.microsoft.com/office/drawing/2014/main" id="{6506CC59-6FF6-0CB4-42C3-9FBFEE556C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363BFD" w:rsidRPr="00BB3D77">
        <w:t xml:space="preserve">   </w:t>
      </w:r>
    </w:p>
    <w:p w14:paraId="47C62F73" w14:textId="4AE6BBAD" w:rsidR="00C96B19" w:rsidRPr="00BB3D77" w:rsidRDefault="00C96B19" w:rsidP="00363BFD">
      <w:pPr>
        <w:pStyle w:val="Body"/>
        <w:rPr>
          <w:rStyle w:val="ChartSourceChar"/>
        </w:rPr>
      </w:pPr>
      <w:r w:rsidRPr="00BB3D77">
        <w:rPr>
          <w:rStyle w:val="ChartSourceChar"/>
        </w:rPr>
        <w:t>Source: NACCA, The Conference Board of Canada</w:t>
      </w:r>
    </w:p>
    <w:p w14:paraId="1ED7682F" w14:textId="793FDF80" w:rsidR="00742AF5" w:rsidRPr="00BB3D77" w:rsidRDefault="00182873" w:rsidP="00742AF5">
      <w:pPr>
        <w:pStyle w:val="Body"/>
        <w:spacing w:before="240"/>
      </w:pPr>
      <w:r w:rsidRPr="00BB3D77">
        <w:t>Summing up</w:t>
      </w:r>
      <w:r w:rsidR="00742AF5" w:rsidRPr="00BB3D77">
        <w:t xml:space="preserve"> from 2016 to 2021, the total impact on labour income was $</w:t>
      </w:r>
      <w:r w:rsidR="00C14F57" w:rsidRPr="00BB3D77">
        <w:t>514.8</w:t>
      </w:r>
      <w:r w:rsidR="00742AF5" w:rsidRPr="00BB3D77">
        <w:t xml:space="preserve"> million (2020 constant dollars)</w:t>
      </w:r>
      <w:r w:rsidR="00FA3EB4" w:rsidRPr="00BB3D77">
        <w:t>. Relative to the total investment of $813 million</w:t>
      </w:r>
      <w:r w:rsidR="00B54470">
        <w:t xml:space="preserve"> tied to ABFP and ADLA</w:t>
      </w:r>
      <w:r w:rsidR="00FA3EB4" w:rsidRPr="00BB3D77">
        <w:t>, these results imply that the simple labour income multiplier, including direct and indirect impacts, was 0.</w:t>
      </w:r>
      <w:r w:rsidR="00EF3816" w:rsidRPr="00BB3D77">
        <w:t>52</w:t>
      </w:r>
      <w:r w:rsidR="00FA3EB4" w:rsidRPr="00BB3D77">
        <w:t xml:space="preserve">; while the total multiplier, including induced, on top of direct and indirect impacts, was </w:t>
      </w:r>
      <w:r w:rsidR="00EF3816" w:rsidRPr="00BB3D77">
        <w:t>0.63</w:t>
      </w:r>
      <w:r w:rsidR="00FA3EB4" w:rsidRPr="00BB3D77">
        <w:t xml:space="preserve">. Expressing it differently, for every dollar of investment, including loans, client equity, and non-repayable contributions, the </w:t>
      </w:r>
      <w:r w:rsidR="006E748D">
        <w:t>IFI</w:t>
      </w:r>
      <w:r w:rsidR="00B54470">
        <w:t xml:space="preserve">-driven investments tied to </w:t>
      </w:r>
      <w:r w:rsidR="00FA3EB4" w:rsidRPr="00BB3D77">
        <w:t xml:space="preserve">ABFP </w:t>
      </w:r>
      <w:r w:rsidR="00B54470">
        <w:t xml:space="preserve">and ADLA </w:t>
      </w:r>
      <w:r w:rsidR="00FA3EB4" w:rsidRPr="00BB3D77">
        <w:t>stimulated $</w:t>
      </w:r>
      <w:r w:rsidR="00EF3816" w:rsidRPr="00BB3D77">
        <w:t>0.63</w:t>
      </w:r>
      <w:r w:rsidR="00FA3EB4" w:rsidRPr="00BB3D77">
        <w:t xml:space="preserve"> in </w:t>
      </w:r>
      <w:r w:rsidR="00EF3816" w:rsidRPr="00BB3D77">
        <w:t>total labour income</w:t>
      </w:r>
      <w:r w:rsidR="00FA3EB4" w:rsidRPr="00BB3D77">
        <w:t>.</w:t>
      </w:r>
    </w:p>
    <w:p w14:paraId="10BAC08E" w14:textId="64B214DE" w:rsidR="00C96B19" w:rsidRPr="00BB3D77" w:rsidRDefault="00742AF5" w:rsidP="00363BFD">
      <w:pPr>
        <w:pStyle w:val="Body"/>
      </w:pPr>
      <w:r w:rsidRPr="00BB3D77">
        <w:t xml:space="preserve"> </w:t>
      </w:r>
    </w:p>
    <w:p w14:paraId="6716FB97" w14:textId="77777777" w:rsidR="008B035C" w:rsidRPr="00BB3D77" w:rsidRDefault="008B035C">
      <w:pPr>
        <w:spacing w:after="160" w:line="259" w:lineRule="auto"/>
      </w:pPr>
      <w:r w:rsidRPr="00BB3D77">
        <w:br w:type="page"/>
      </w:r>
    </w:p>
    <w:p w14:paraId="50A7C453" w14:textId="77777777" w:rsidR="008B035C" w:rsidRPr="00BB3D77" w:rsidRDefault="008B035C" w:rsidP="008B035C">
      <w:pPr>
        <w:pStyle w:val="Heading1"/>
      </w:pPr>
      <w:bookmarkStart w:id="24" w:name="_Toc83214243"/>
      <w:bookmarkStart w:id="25" w:name="_Toc136865081"/>
      <w:r w:rsidRPr="00BB3D77">
        <w:lastRenderedPageBreak/>
        <w:t>Chapter 2</w:t>
      </w:r>
      <w:bookmarkEnd w:id="25"/>
    </w:p>
    <w:p w14:paraId="209A0B14" w14:textId="75595C08" w:rsidR="008B035C" w:rsidRPr="00BB3D77" w:rsidRDefault="005F2213" w:rsidP="00643B74">
      <w:pPr>
        <w:pStyle w:val="Heading2"/>
      </w:pPr>
      <w:bookmarkStart w:id="26" w:name="_Toc136865082"/>
      <w:r w:rsidRPr="00BB3D77">
        <w:t>Indexing the</w:t>
      </w:r>
      <w:r w:rsidR="00520E48" w:rsidRPr="00BB3D77">
        <w:t xml:space="preserve"> </w:t>
      </w:r>
      <w:r w:rsidR="008358D1" w:rsidRPr="00BB3D77">
        <w:t>Wellbeing</w:t>
      </w:r>
      <w:r w:rsidR="001814D2" w:rsidRPr="00BB3D77">
        <w:t xml:space="preserve"> of</w:t>
      </w:r>
      <w:r w:rsidR="00434064" w:rsidRPr="00BB3D77">
        <w:t xml:space="preserve"> </w:t>
      </w:r>
      <w:r w:rsidR="006E748D">
        <w:t>IFI</w:t>
      </w:r>
      <w:r w:rsidR="008B035C" w:rsidRPr="00BB3D77">
        <w:t xml:space="preserve"> </w:t>
      </w:r>
      <w:r w:rsidR="00697F41" w:rsidRPr="00BB3D77">
        <w:t>C</w:t>
      </w:r>
      <w:r w:rsidR="008B035C" w:rsidRPr="00BB3D77">
        <w:t>lient</w:t>
      </w:r>
      <w:r w:rsidR="00434064" w:rsidRPr="00BB3D77">
        <w:t xml:space="preserve"> </w:t>
      </w:r>
      <w:r w:rsidR="00697F41" w:rsidRPr="00BB3D77">
        <w:t>C</w:t>
      </w:r>
      <w:r w:rsidR="00434064" w:rsidRPr="00BB3D77">
        <w:t>ommunities</w:t>
      </w:r>
      <w:bookmarkEnd w:id="26"/>
    </w:p>
    <w:bookmarkEnd w:id="24"/>
    <w:p w14:paraId="0836045A" w14:textId="4B7EDFE1" w:rsidR="008B035C" w:rsidRPr="00BB3D77" w:rsidRDefault="00387610" w:rsidP="008B035C">
      <w:pPr>
        <w:pStyle w:val="Body"/>
      </w:pPr>
      <w:r w:rsidRPr="00BB3D77">
        <w:t>To begin</w:t>
      </w:r>
      <w:r w:rsidR="001F6B22" w:rsidRPr="00BB3D77">
        <w:t xml:space="preserve"> investigating the social dimensions of </w:t>
      </w:r>
      <w:r w:rsidR="006E748D">
        <w:t>IFI</w:t>
      </w:r>
      <w:r w:rsidR="001F6B22" w:rsidRPr="00BB3D77">
        <w:t xml:space="preserve"> </w:t>
      </w:r>
      <w:r w:rsidR="00754E43" w:rsidRPr="00BB3D77">
        <w:t>client</w:t>
      </w:r>
      <w:r w:rsidR="001A423F" w:rsidRPr="00BB3D77">
        <w:t xml:space="preserve"> </w:t>
      </w:r>
      <w:r w:rsidR="00754E43" w:rsidRPr="00BB3D77">
        <w:t>communit</w:t>
      </w:r>
      <w:r w:rsidR="00B35F98" w:rsidRPr="00BB3D77">
        <w:t>ies</w:t>
      </w:r>
      <w:r w:rsidR="006824FE" w:rsidRPr="00BB3D77">
        <w:t>,</w:t>
      </w:r>
      <w:r w:rsidR="001A423F" w:rsidRPr="00BB3D77">
        <w:t xml:space="preserve"> we now turn to insights from </w:t>
      </w:r>
      <w:r w:rsidR="006824FE" w:rsidRPr="00BB3D77">
        <w:t>the</w:t>
      </w:r>
      <w:r w:rsidR="001A423F" w:rsidRPr="00BB3D77">
        <w:t xml:space="preserve"> Community Wellbeing (CWB) index</w:t>
      </w:r>
      <w:r w:rsidR="001F6B22" w:rsidRPr="00BB3D77">
        <w:t xml:space="preserve">. </w:t>
      </w:r>
      <w:r w:rsidR="0087311D" w:rsidRPr="00BB3D77">
        <w:t xml:space="preserve">The </w:t>
      </w:r>
      <w:r w:rsidR="001A423F" w:rsidRPr="00BB3D77">
        <w:t>CWB</w:t>
      </w:r>
      <w:r w:rsidR="0087311D" w:rsidRPr="00BB3D77">
        <w:t xml:space="preserve"> </w:t>
      </w:r>
      <w:r w:rsidR="00091D8A" w:rsidRPr="00BB3D77">
        <w:t xml:space="preserve">index </w:t>
      </w:r>
      <w:r w:rsidR="0087311D" w:rsidRPr="00BB3D77">
        <w:t>aims to measure and compare the quality of life of First Nation and Inuit communities relative to other communities in Canada.</w:t>
      </w:r>
      <w:r w:rsidR="00721FE5" w:rsidRPr="00BB3D77">
        <w:t xml:space="preserve"> </w:t>
      </w:r>
      <w:r w:rsidR="00100AC2" w:rsidRPr="00BB3D77">
        <w:t>Researchers affiliated with Aboriginal Affairs and Northern Development Canada</w:t>
      </w:r>
      <w:r w:rsidR="00100AC2" w:rsidRPr="00BB3D77">
        <w:rPr>
          <w:rStyle w:val="FootnoteReference"/>
        </w:rPr>
        <w:footnoteReference w:id="7"/>
      </w:r>
      <w:r w:rsidR="00B90460" w:rsidRPr="00BB3D77">
        <w:t xml:space="preserve">, </w:t>
      </w:r>
      <w:r w:rsidR="00FF53BA" w:rsidRPr="00BB3D77">
        <w:t>now Indigenous Services Canada</w:t>
      </w:r>
      <w:r w:rsidR="00B90460" w:rsidRPr="00BB3D77">
        <w:t xml:space="preserve"> (ISC</w:t>
      </w:r>
      <w:r w:rsidR="00FF53BA" w:rsidRPr="00BB3D77">
        <w:t>)</w:t>
      </w:r>
      <w:r w:rsidR="00B90460" w:rsidRPr="00BB3D77">
        <w:t>,</w:t>
      </w:r>
      <w:r w:rsidR="00100AC2" w:rsidRPr="00BB3D77">
        <w:t xml:space="preserve"> developed the </w:t>
      </w:r>
      <w:r w:rsidR="0087311D" w:rsidRPr="00BB3D77">
        <w:t>index</w:t>
      </w:r>
      <w:r w:rsidR="008B035C" w:rsidRPr="00BB3D77">
        <w:t xml:space="preserve"> in 2001. </w:t>
      </w:r>
    </w:p>
    <w:p w14:paraId="1B51B269" w14:textId="0A935EFB" w:rsidR="008B035C" w:rsidRPr="00BB3D77" w:rsidRDefault="008B035C" w:rsidP="008B035C">
      <w:pPr>
        <w:pStyle w:val="Body"/>
      </w:pPr>
      <w:r w:rsidRPr="00BB3D77">
        <w:t xml:space="preserve">The </w:t>
      </w:r>
      <w:r w:rsidR="00091D8A" w:rsidRPr="00BB3D77">
        <w:t xml:space="preserve">index </w:t>
      </w:r>
      <w:r w:rsidRPr="00BB3D77">
        <w:t xml:space="preserve">applies data from the </w:t>
      </w:r>
      <w:r w:rsidR="00EC5BB9" w:rsidRPr="00BB3D77">
        <w:t xml:space="preserve">recurring </w:t>
      </w:r>
      <w:r w:rsidRPr="00BB3D77">
        <w:t>Canadian Census of Population</w:t>
      </w:r>
      <w:r w:rsidR="003D0ACC" w:rsidRPr="00BB3D77">
        <w:t xml:space="preserve"> and </w:t>
      </w:r>
      <w:r w:rsidR="0092601C" w:rsidRPr="00BB3D77">
        <w:t xml:space="preserve">– as of this writing – </w:t>
      </w:r>
      <w:r w:rsidRPr="00BB3D77">
        <w:t xml:space="preserve">has been calculated for </w:t>
      </w:r>
      <w:r w:rsidR="004F32F0" w:rsidRPr="00BB3D77">
        <w:t xml:space="preserve">the years </w:t>
      </w:r>
      <w:r w:rsidRPr="00BB3D77">
        <w:t>1981, 1991, 1996, 2001, 2006, 2011, and 2016 for all communities with a population greater than 65.</w:t>
      </w:r>
      <w:r w:rsidR="004F32F0" w:rsidRPr="00BB3D77">
        <w:rPr>
          <w:rStyle w:val="FootnoteReference"/>
        </w:rPr>
        <w:footnoteReference w:id="8"/>
      </w:r>
      <w:r w:rsidRPr="00BB3D77">
        <w:t xml:space="preserve"> Relevant communities are also defined in terms of census subdivisions categorized as First Nation, Inuit, or other Canadian communities. </w:t>
      </w:r>
      <w:r w:rsidR="00CD136A" w:rsidRPr="00BB3D77">
        <w:t xml:space="preserve">In this case, </w:t>
      </w:r>
      <w:r w:rsidRPr="00BB3D77">
        <w:t>First Nation communities are those which ISC</w:t>
      </w:r>
      <w:r w:rsidR="00B90460" w:rsidRPr="00BB3D77">
        <w:t xml:space="preserve"> </w:t>
      </w:r>
      <w:r w:rsidRPr="00BB3D77">
        <w:t xml:space="preserve">and Statistics Canada </w:t>
      </w:r>
      <w:r w:rsidR="000D6A72" w:rsidRPr="00BB3D77">
        <w:t xml:space="preserve">have classified </w:t>
      </w:r>
      <w:r w:rsidRPr="00BB3D77">
        <w:t>as being on</w:t>
      </w:r>
      <w:r w:rsidR="00B877F8" w:rsidRPr="00BB3D77">
        <w:t xml:space="preserve"> </w:t>
      </w:r>
      <w:r w:rsidRPr="00BB3D77">
        <w:t>reserve or under a Modern Treaty and affiliated with Indian Bands</w:t>
      </w:r>
      <w:r w:rsidRPr="00BB3D77">
        <w:rPr>
          <w:rStyle w:val="FootnoteReference"/>
          <w:rFonts w:ascii="Times New Roman" w:eastAsia="Times New Roman" w:hAnsi="Times New Roman" w:cs="Times New Roman"/>
        </w:rPr>
        <w:footnoteReference w:id="9"/>
      </w:r>
      <w:r w:rsidRPr="00BB3D77">
        <w:t xml:space="preserve"> (though some exceptions may apply due to Modern Treaty arrangements). Inuit communities are found within the completed land claims of Nunatsiavut, Nunavik, Nunavut</w:t>
      </w:r>
      <w:r w:rsidR="002006DD" w:rsidRPr="00BB3D77">
        <w:t>,</w:t>
      </w:r>
      <w:r w:rsidRPr="00BB3D77">
        <w:t xml:space="preserve"> and Inuvialuit (</w:t>
      </w:r>
      <w:r w:rsidR="00D65DDE" w:rsidRPr="00BB3D77">
        <w:t>the regions comprising</w:t>
      </w:r>
      <w:r w:rsidRPr="00BB3D77">
        <w:t xml:space="preserve"> Inuit Nunangat).</w:t>
      </w:r>
    </w:p>
    <w:p w14:paraId="28362516" w14:textId="42C0D16B" w:rsidR="008B035C" w:rsidRPr="00BB3D77" w:rsidRDefault="008B035C" w:rsidP="008B035C">
      <w:pPr>
        <w:pStyle w:val="Body"/>
      </w:pPr>
      <w:r w:rsidRPr="00BB3D77">
        <w:t xml:space="preserve">According to its original developers, the CWB </w:t>
      </w:r>
      <w:r w:rsidR="007A4F86" w:rsidRPr="00BB3D77">
        <w:t xml:space="preserve">index </w:t>
      </w:r>
      <w:r w:rsidR="00371514" w:rsidRPr="00BB3D77">
        <w:t>seeks</w:t>
      </w:r>
      <w:r w:rsidRPr="00BB3D77">
        <w:t xml:space="preserve"> to </w:t>
      </w:r>
      <w:r w:rsidR="008E78C4" w:rsidRPr="00BB3D77">
        <w:t>achieve</w:t>
      </w:r>
      <w:r w:rsidRPr="00BB3D77">
        <w:t xml:space="preserve"> four main objectives</w:t>
      </w:r>
      <w:r w:rsidRPr="00BB3D77">
        <w:rPr>
          <w:rStyle w:val="FootnoteReference"/>
          <w:rFonts w:ascii="Times New Roman" w:eastAsia="Times New Roman" w:hAnsi="Times New Roman" w:cs="Times New Roman"/>
        </w:rPr>
        <w:footnoteReference w:id="10"/>
      </w:r>
      <w:r w:rsidRPr="00BB3D77">
        <w:t>:</w:t>
      </w:r>
    </w:p>
    <w:p w14:paraId="403986A6" w14:textId="0082C076" w:rsidR="008B035C" w:rsidRPr="00BB3D77" w:rsidRDefault="008B035C" w:rsidP="008B035C">
      <w:pPr>
        <w:pStyle w:val="BulletList"/>
      </w:pPr>
      <w:r w:rsidRPr="00BB3D77">
        <w:t>to provide a systematic</w:t>
      </w:r>
      <w:r w:rsidR="00F734A7" w:rsidRPr="00BB3D77">
        <w:t xml:space="preserve"> and</w:t>
      </w:r>
      <w:r w:rsidRPr="00BB3D77">
        <w:t xml:space="preserve"> reliable summary measure of socio-economic </w:t>
      </w:r>
      <w:r w:rsidR="00237EC2" w:rsidRPr="00BB3D77">
        <w:t>wellbeing</w:t>
      </w:r>
      <w:r w:rsidRPr="00BB3D77">
        <w:t xml:space="preserve"> for nearly all Canadian </w:t>
      </w:r>
      <w:r w:rsidR="00FA7012" w:rsidRPr="00BB3D77">
        <w:t>communities.</w:t>
      </w:r>
    </w:p>
    <w:p w14:paraId="79EF56FB" w14:textId="2790EAB4" w:rsidR="008B035C" w:rsidRPr="00BB3D77" w:rsidRDefault="008B035C" w:rsidP="008B035C">
      <w:pPr>
        <w:pStyle w:val="BulletList"/>
      </w:pPr>
      <w:r w:rsidRPr="00BB3D77">
        <w:t xml:space="preserve">to illustrate variations in </w:t>
      </w:r>
      <w:r w:rsidR="00237EC2" w:rsidRPr="00BB3D77">
        <w:t>wellbeing</w:t>
      </w:r>
      <w:r w:rsidRPr="00BB3D77">
        <w:t xml:space="preserve"> across First Nation and Inuit communities and illustrate how they compare to that of other communities in </w:t>
      </w:r>
      <w:r w:rsidR="00FA7012" w:rsidRPr="00BB3D77">
        <w:t>Canada.</w:t>
      </w:r>
    </w:p>
    <w:p w14:paraId="6DE8E2BA" w14:textId="6531FFA7" w:rsidR="008B035C" w:rsidRPr="00BB3D77" w:rsidRDefault="008B035C" w:rsidP="008B035C">
      <w:pPr>
        <w:pStyle w:val="BulletList"/>
      </w:pPr>
      <w:r w:rsidRPr="00BB3D77">
        <w:t xml:space="preserve">to allow for </w:t>
      </w:r>
      <w:r w:rsidR="00237EC2" w:rsidRPr="00BB3D77">
        <w:t>wellbeing</w:t>
      </w:r>
      <w:r w:rsidRPr="00BB3D77">
        <w:t xml:space="preserve"> to be tracked over time; and </w:t>
      </w:r>
    </w:p>
    <w:p w14:paraId="1A4EEA0A" w14:textId="36563C03" w:rsidR="008B035C" w:rsidRPr="00BB3D77" w:rsidRDefault="008B035C" w:rsidP="008B035C">
      <w:pPr>
        <w:pStyle w:val="BulletList"/>
      </w:pPr>
      <w:r w:rsidRPr="00BB3D77">
        <w:t xml:space="preserve">to be </w:t>
      </w:r>
      <w:r w:rsidR="00F4420F" w:rsidRPr="00BB3D77">
        <w:t xml:space="preserve">compatible </w:t>
      </w:r>
      <w:r w:rsidRPr="00BB3D77">
        <w:t xml:space="preserve">with other </w:t>
      </w:r>
      <w:r w:rsidR="00F4420F" w:rsidRPr="00BB3D77">
        <w:t>data and measures</w:t>
      </w:r>
      <w:r w:rsidRPr="00BB3D77">
        <w:t xml:space="preserve"> associated with </w:t>
      </w:r>
      <w:r w:rsidR="000950CD" w:rsidRPr="00BB3D77">
        <w:t xml:space="preserve">research on </w:t>
      </w:r>
      <w:r w:rsidR="00237EC2" w:rsidRPr="00BB3D77">
        <w:t>wellbeing</w:t>
      </w:r>
      <w:r w:rsidRPr="00BB3D77">
        <w:t>.</w:t>
      </w:r>
    </w:p>
    <w:p w14:paraId="60754DD5" w14:textId="7D0F7981" w:rsidR="008B035C" w:rsidRPr="00BB3D77" w:rsidRDefault="008B035C" w:rsidP="008B035C">
      <w:pPr>
        <w:pStyle w:val="Body"/>
      </w:pPr>
      <w:r w:rsidRPr="00BB3D77">
        <w:lastRenderedPageBreak/>
        <w:t xml:space="preserve">The </w:t>
      </w:r>
      <w:r w:rsidR="00170E4A" w:rsidRPr="00BB3D77">
        <w:t>index</w:t>
      </w:r>
      <w:r w:rsidRPr="00BB3D77">
        <w:t xml:space="preserve"> </w:t>
      </w:r>
      <w:r w:rsidR="002357DF" w:rsidRPr="00BB3D77">
        <w:t xml:space="preserve">synthesises </w:t>
      </w:r>
      <w:r w:rsidRPr="00BB3D77">
        <w:t xml:space="preserve">four </w:t>
      </w:r>
      <w:r w:rsidR="002357DF" w:rsidRPr="00BB3D77">
        <w:t xml:space="preserve">component </w:t>
      </w:r>
      <w:r w:rsidRPr="00BB3D77">
        <w:t>indicators</w:t>
      </w:r>
      <w:r w:rsidR="007E69C3" w:rsidRPr="00BB3D77">
        <w:t xml:space="preserve"> including</w:t>
      </w:r>
      <w:r w:rsidRPr="00BB3D77">
        <w:t xml:space="preserve"> education, labour, income</w:t>
      </w:r>
      <w:r w:rsidR="007E69C3" w:rsidRPr="00BB3D77">
        <w:t>,</w:t>
      </w:r>
      <w:r w:rsidRPr="00BB3D77">
        <w:t xml:space="preserve"> and housing</w:t>
      </w:r>
      <w:r w:rsidR="007E69C3" w:rsidRPr="00BB3D77">
        <w:t>.</w:t>
      </w:r>
      <w:r w:rsidRPr="00BB3D77">
        <w:t xml:space="preserve"> </w:t>
      </w:r>
      <w:r w:rsidR="007E69C3" w:rsidRPr="00BB3D77">
        <w:t>Its underlying</w:t>
      </w:r>
      <w:r w:rsidRPr="00BB3D77">
        <w:t xml:space="preserve"> methodology </w:t>
      </w:r>
      <w:r w:rsidR="007E69C3" w:rsidRPr="00BB3D77">
        <w:t>derives from</w:t>
      </w:r>
      <w:r w:rsidRPr="00BB3D77">
        <w:t xml:space="preserve"> the </w:t>
      </w:r>
      <w:r w:rsidR="00E456CC" w:rsidRPr="00BB3D77">
        <w:t>United Nations’</w:t>
      </w:r>
      <w:r w:rsidRPr="00BB3D77">
        <w:t xml:space="preserve"> Human Development Index (HDI). The HDI</w:t>
      </w:r>
      <w:r w:rsidR="00970CA2" w:rsidRPr="00BB3D77">
        <w:t xml:space="preserve"> </w:t>
      </w:r>
      <w:r w:rsidRPr="00BB3D77">
        <w:t xml:space="preserve">has been </w:t>
      </w:r>
      <w:r w:rsidR="00970CA2" w:rsidRPr="00BB3D77">
        <w:t>a part of</w:t>
      </w:r>
      <w:r w:rsidRPr="00BB3D77">
        <w:t xml:space="preserve"> United Nations </w:t>
      </w:r>
      <w:r w:rsidR="00970CA2" w:rsidRPr="00BB3D77">
        <w:t xml:space="preserve">country-level reporting </w:t>
      </w:r>
      <w:r w:rsidRPr="00BB3D77">
        <w:t xml:space="preserve">since 1990 </w:t>
      </w:r>
      <w:r w:rsidR="00970CA2" w:rsidRPr="00BB3D77">
        <w:t>and</w:t>
      </w:r>
      <w:r w:rsidRPr="00BB3D77">
        <w:t xml:space="preserve"> measure</w:t>
      </w:r>
      <w:r w:rsidR="00970CA2" w:rsidRPr="00BB3D77">
        <w:t>s</w:t>
      </w:r>
      <w:r w:rsidRPr="00BB3D77">
        <w:t xml:space="preserve"> the </w:t>
      </w:r>
      <w:r w:rsidR="00237EC2" w:rsidRPr="00BB3D77">
        <w:t>wellbeing</w:t>
      </w:r>
      <w:r w:rsidRPr="00BB3D77">
        <w:t xml:space="preserve"> of roughly 170 countries. </w:t>
      </w:r>
    </w:p>
    <w:p w14:paraId="0F37DA2B" w14:textId="4456C742" w:rsidR="008B035C" w:rsidRPr="00BB3D77" w:rsidRDefault="008B035C" w:rsidP="008B035C">
      <w:pPr>
        <w:pStyle w:val="Body"/>
      </w:pPr>
      <w:r w:rsidRPr="00BB3D77">
        <w:t xml:space="preserve">There are several benefits </w:t>
      </w:r>
      <w:r w:rsidR="00704FED" w:rsidRPr="00BB3D77">
        <w:t>to</w:t>
      </w:r>
      <w:r w:rsidRPr="00BB3D77">
        <w:t xml:space="preserve"> </w:t>
      </w:r>
      <w:r w:rsidR="00E456CC" w:rsidRPr="00BB3D77">
        <w:t xml:space="preserve">the </w:t>
      </w:r>
      <w:r w:rsidRPr="00BB3D77">
        <w:t xml:space="preserve">HDI </w:t>
      </w:r>
      <w:r w:rsidR="00E456CC" w:rsidRPr="00BB3D77">
        <w:t>and CWB</w:t>
      </w:r>
      <w:r w:rsidR="007A4F86" w:rsidRPr="00BB3D77">
        <w:t xml:space="preserve"> index</w:t>
      </w:r>
      <w:r w:rsidR="00E456CC" w:rsidRPr="00BB3D77">
        <w:t xml:space="preserve">’s </w:t>
      </w:r>
      <w:r w:rsidR="008E3291" w:rsidRPr="00BB3D77">
        <w:t xml:space="preserve">shared </w:t>
      </w:r>
      <w:r w:rsidRPr="00BB3D77">
        <w:t>methodology</w:t>
      </w:r>
      <w:r w:rsidR="00E456CC" w:rsidRPr="00BB3D77">
        <w:t>.</w:t>
      </w:r>
      <w:r w:rsidRPr="00BB3D77">
        <w:t xml:space="preserve"> </w:t>
      </w:r>
      <w:r w:rsidR="00E456CC" w:rsidRPr="00BB3D77">
        <w:t>It</w:t>
      </w:r>
      <w:r w:rsidRPr="00BB3D77">
        <w:t xml:space="preserve"> creates an index which is not unduly influenced by any single component</w:t>
      </w:r>
      <w:r w:rsidR="00595119" w:rsidRPr="00BB3D77">
        <w:t>.</w:t>
      </w:r>
      <w:r w:rsidRPr="00BB3D77">
        <w:t xml:space="preserve"> </w:t>
      </w:r>
      <w:r w:rsidR="00595119" w:rsidRPr="00BB3D77">
        <w:t>Each</w:t>
      </w:r>
      <w:r w:rsidRPr="00BB3D77">
        <w:t xml:space="preserve"> indicator is given an equal weight</w:t>
      </w:r>
      <w:r w:rsidR="008E3291" w:rsidRPr="00BB3D77">
        <w:t>ing</w:t>
      </w:r>
      <w:r w:rsidRPr="00BB3D77">
        <w:t xml:space="preserve">. </w:t>
      </w:r>
      <w:r w:rsidR="00595119" w:rsidRPr="00BB3D77">
        <w:t>The</w:t>
      </w:r>
      <w:r w:rsidRPr="00BB3D77">
        <w:t xml:space="preserve"> index </w:t>
      </w:r>
      <w:r w:rsidR="00531488" w:rsidRPr="00BB3D77">
        <w:t>itself</w:t>
      </w:r>
      <w:r w:rsidR="00606A30" w:rsidRPr="00BB3D77">
        <w:t xml:space="preserve"> </w:t>
      </w:r>
      <w:r w:rsidRPr="00BB3D77">
        <w:t xml:space="preserve">is </w:t>
      </w:r>
      <w:r w:rsidR="00595119" w:rsidRPr="00BB3D77">
        <w:t>a</w:t>
      </w:r>
      <w:r w:rsidRPr="00BB3D77">
        <w:t xml:space="preserve"> continuous variable</w:t>
      </w:r>
      <w:r w:rsidR="00531488" w:rsidRPr="00BB3D77">
        <w:t>,</w:t>
      </w:r>
      <w:r w:rsidRPr="00BB3D77">
        <w:t xml:space="preserve"> on a scale from 0</w:t>
      </w:r>
      <w:r w:rsidR="00606A30" w:rsidRPr="00BB3D77">
        <w:t xml:space="preserve"> to </w:t>
      </w:r>
      <w:r w:rsidRPr="00BB3D77">
        <w:t>100</w:t>
      </w:r>
      <w:r w:rsidR="00531488" w:rsidRPr="00BB3D77">
        <w:t>,</w:t>
      </w:r>
      <w:r w:rsidRPr="00BB3D77">
        <w:t xml:space="preserve"> </w:t>
      </w:r>
      <w:r w:rsidR="00531488" w:rsidRPr="00BB3D77">
        <w:t>which</w:t>
      </w:r>
      <w:r w:rsidRPr="00BB3D77">
        <w:t xml:space="preserve"> is </w:t>
      </w:r>
      <w:r w:rsidR="009F4FD0" w:rsidRPr="00BB3D77">
        <w:t>relatively</w:t>
      </w:r>
      <w:r w:rsidRPr="00BB3D77">
        <w:t xml:space="preserve"> easy to understand and simple to use in statistical analysis. </w:t>
      </w:r>
      <w:r w:rsidR="00531488" w:rsidRPr="00BB3D77">
        <w:t>It</w:t>
      </w:r>
      <w:r w:rsidR="0016239B" w:rsidRPr="00BB3D77">
        <w:t xml:space="preserve"> </w:t>
      </w:r>
      <w:r w:rsidR="00BA1AFA" w:rsidRPr="00BB3D77">
        <w:t xml:space="preserve">also </w:t>
      </w:r>
      <w:r w:rsidRPr="00BB3D77">
        <w:t>inclu</w:t>
      </w:r>
      <w:r w:rsidR="005358CB" w:rsidRPr="00BB3D77">
        <w:t>des</w:t>
      </w:r>
      <w:r w:rsidRPr="00BB3D77">
        <w:t xml:space="preserve"> non-monetary factors </w:t>
      </w:r>
      <w:r w:rsidR="00AF547D" w:rsidRPr="00BB3D77">
        <w:t>that allow</w:t>
      </w:r>
      <w:r w:rsidR="004D6CC6" w:rsidRPr="00BB3D77">
        <w:t xml:space="preserve"> researchers to</w:t>
      </w:r>
      <w:r w:rsidRPr="00BB3D77">
        <w:t xml:space="preserve"> compar</w:t>
      </w:r>
      <w:r w:rsidR="004D6CC6" w:rsidRPr="00BB3D77">
        <w:t>e</w:t>
      </w:r>
      <w:r w:rsidRPr="00BB3D77">
        <w:t xml:space="preserve"> broader soci</w:t>
      </w:r>
      <w:r w:rsidR="00E62979" w:rsidRPr="00BB3D77">
        <w:t>o-economic</w:t>
      </w:r>
      <w:r w:rsidRPr="00BB3D77">
        <w:t xml:space="preserve"> dimensions </w:t>
      </w:r>
      <w:r w:rsidR="00532EA2" w:rsidRPr="00BB3D77">
        <w:t>such as housing</w:t>
      </w:r>
      <w:r w:rsidR="00AF547D" w:rsidRPr="00BB3D77">
        <w:t xml:space="preserve"> or education</w:t>
      </w:r>
      <w:r w:rsidR="00532EA2" w:rsidRPr="00BB3D77">
        <w:t xml:space="preserve"> </w:t>
      </w:r>
      <w:r w:rsidRPr="00BB3D77">
        <w:t xml:space="preserve">across communities. </w:t>
      </w:r>
      <w:r w:rsidR="00BA1AFA" w:rsidRPr="00BB3D77">
        <w:t>Lastly</w:t>
      </w:r>
      <w:r w:rsidRPr="00BB3D77">
        <w:t xml:space="preserve">, the choice of dimensions allows for comparisons across years as the data required </w:t>
      </w:r>
      <w:r w:rsidR="00E62979" w:rsidRPr="00BB3D77">
        <w:t>are</w:t>
      </w:r>
      <w:r w:rsidRPr="00BB3D77">
        <w:t xml:space="preserve"> routinely recorded in the </w:t>
      </w:r>
      <w:r w:rsidR="00552E7E" w:rsidRPr="00BB3D77">
        <w:t>c</w:t>
      </w:r>
      <w:r w:rsidRPr="00BB3D77">
        <w:t>ensus.</w:t>
      </w:r>
    </w:p>
    <w:p w14:paraId="6CB96BC6" w14:textId="3D76A42B" w:rsidR="008B035C" w:rsidRPr="00BB3D77" w:rsidRDefault="008B035C" w:rsidP="008B035C">
      <w:pPr>
        <w:pStyle w:val="Body"/>
      </w:pPr>
      <w:r w:rsidRPr="00BB3D77">
        <w:t xml:space="preserve">Each </w:t>
      </w:r>
      <w:r w:rsidR="00E62979" w:rsidRPr="00BB3D77">
        <w:t xml:space="preserve">component </w:t>
      </w:r>
      <w:r w:rsidRPr="00BB3D77">
        <w:t>indicator</w:t>
      </w:r>
      <w:r w:rsidR="00BA255E" w:rsidRPr="00BB3D77">
        <w:t>,</w:t>
      </w:r>
      <w:r w:rsidRPr="00BB3D77">
        <w:t xml:space="preserve"> except</w:t>
      </w:r>
      <w:r w:rsidR="0092601C" w:rsidRPr="00BB3D77">
        <w:t xml:space="preserve">ing </w:t>
      </w:r>
      <w:r w:rsidRPr="00BB3D77">
        <w:t>income</w:t>
      </w:r>
      <w:r w:rsidR="00BA255E" w:rsidRPr="00BB3D77">
        <w:t>,</w:t>
      </w:r>
      <w:r w:rsidRPr="00BB3D77">
        <w:t xml:space="preserve"> includes multiple dimensions to create a more comprehensive profile of community wellbeing. The indicators are defined as follows</w:t>
      </w:r>
      <w:r w:rsidRPr="00BB3D77">
        <w:rPr>
          <w:rStyle w:val="FootnoteReference"/>
        </w:rPr>
        <w:footnoteReference w:id="11"/>
      </w:r>
      <w:r w:rsidRPr="00BB3D77">
        <w:t>:</w:t>
      </w:r>
    </w:p>
    <w:p w14:paraId="20688810" w14:textId="77777777" w:rsidR="008B035C" w:rsidRPr="00BB3D77" w:rsidRDefault="008B035C" w:rsidP="00C13735">
      <w:pPr>
        <w:pStyle w:val="Heading3"/>
      </w:pPr>
      <w:bookmarkStart w:id="27" w:name="_Toc136865083"/>
      <w:r w:rsidRPr="00BB3D77">
        <w:t>Education</w:t>
      </w:r>
      <w:bookmarkEnd w:id="27"/>
    </w:p>
    <w:p w14:paraId="65388E79" w14:textId="18A32065" w:rsidR="008B035C" w:rsidRPr="00BB3D77" w:rsidRDefault="008B035C" w:rsidP="008B035C">
      <w:pPr>
        <w:pStyle w:val="Body"/>
      </w:pPr>
      <w:r w:rsidRPr="00BB3D77">
        <w:t xml:space="preserve">Education </w:t>
      </w:r>
      <w:r w:rsidR="008971E2" w:rsidRPr="00BB3D77">
        <w:t>consists</w:t>
      </w:r>
      <w:r w:rsidRPr="00BB3D77">
        <w:t xml:space="preserve"> of two dimensions: </w:t>
      </w:r>
      <w:r w:rsidRPr="00BB3D77">
        <w:rPr>
          <w:i/>
        </w:rPr>
        <w:t>high school plus</w:t>
      </w:r>
      <w:r w:rsidRPr="00BB3D77">
        <w:t xml:space="preserve"> and </w:t>
      </w:r>
      <w:r w:rsidRPr="00BB3D77">
        <w:rPr>
          <w:i/>
        </w:rPr>
        <w:t>university</w:t>
      </w:r>
      <w:r w:rsidRPr="00BB3D77">
        <w:t xml:space="preserve">. </w:t>
      </w:r>
      <w:r w:rsidRPr="00BB3D77">
        <w:rPr>
          <w:i/>
        </w:rPr>
        <w:t>High school plus</w:t>
      </w:r>
      <w:r w:rsidRPr="00BB3D77">
        <w:t xml:space="preserve"> indicates the proportion of a community, age</w:t>
      </w:r>
      <w:r w:rsidR="008971E2" w:rsidRPr="00BB3D77">
        <w:t>d</w:t>
      </w:r>
      <w:r w:rsidRPr="00BB3D77">
        <w:t xml:space="preserve"> 20 years and over, that has obtained at least a high school certificate. </w:t>
      </w:r>
      <w:r w:rsidRPr="00BB3D77">
        <w:rPr>
          <w:i/>
        </w:rPr>
        <w:t>University</w:t>
      </w:r>
      <w:r w:rsidRPr="00BB3D77">
        <w:t xml:space="preserve"> indicates the proportion of a community, aged 25 years and older, that has obtained a university degree at the bachelor’s level or higher. </w:t>
      </w:r>
    </w:p>
    <w:p w14:paraId="3F447EBC" w14:textId="17A9D8E8" w:rsidR="008B035C" w:rsidRPr="00BB3D77" w:rsidRDefault="008B035C" w:rsidP="008B035C">
      <w:pPr>
        <w:pStyle w:val="Body"/>
      </w:pPr>
      <w:r w:rsidRPr="00BB3D77">
        <w:t>It is widely accepted that a high school education allows an individual greater options in contemporary Canadian society</w:t>
      </w:r>
      <w:r w:rsidR="007B1B03" w:rsidRPr="00BB3D77">
        <w:t>;</w:t>
      </w:r>
      <w:r w:rsidRPr="00BB3D77">
        <w:t xml:space="preserve"> and, as such, the </w:t>
      </w:r>
      <w:r w:rsidRPr="00BB3D77">
        <w:rPr>
          <w:i/>
        </w:rPr>
        <w:t>high school plus</w:t>
      </w:r>
      <w:r w:rsidRPr="00BB3D77">
        <w:t xml:space="preserve"> indicator is given a weight of 2/3, whereas the </w:t>
      </w:r>
      <w:r w:rsidRPr="00BB3D77">
        <w:rPr>
          <w:i/>
        </w:rPr>
        <w:t xml:space="preserve">university </w:t>
      </w:r>
      <w:r w:rsidRPr="00BB3D77">
        <w:t>indicator is given a weight of 1/3.</w:t>
      </w:r>
      <w:r w:rsidR="00BD4327" w:rsidRPr="00BB3D77">
        <w:rPr>
          <w:rStyle w:val="FootnoteReference"/>
        </w:rPr>
        <w:footnoteReference w:id="12"/>
      </w:r>
      <w:r w:rsidR="00D11237" w:rsidRPr="00BB3D77">
        <w:t xml:space="preserve"> </w:t>
      </w:r>
    </w:p>
    <w:p w14:paraId="41BEB5BC" w14:textId="77777777" w:rsidR="008B035C" w:rsidRPr="00BB3D77" w:rsidRDefault="008B035C" w:rsidP="00C13735">
      <w:pPr>
        <w:pStyle w:val="Heading3"/>
      </w:pPr>
      <w:bookmarkStart w:id="28" w:name="_Toc136865084"/>
      <w:r w:rsidRPr="00BB3D77">
        <w:t>Labour</w:t>
      </w:r>
      <w:bookmarkEnd w:id="28"/>
    </w:p>
    <w:p w14:paraId="4C4EB30E" w14:textId="10D47DD5" w:rsidR="008B035C" w:rsidRPr="00BB3D77" w:rsidRDefault="008B035C" w:rsidP="008B035C">
      <w:pPr>
        <w:pStyle w:val="Body"/>
      </w:pPr>
      <w:r w:rsidRPr="00BB3D77">
        <w:t xml:space="preserve">Labour </w:t>
      </w:r>
      <w:r w:rsidR="007B1B03" w:rsidRPr="00BB3D77">
        <w:t>consists</w:t>
      </w:r>
      <w:r w:rsidRPr="00BB3D77">
        <w:t xml:space="preserve"> of two di</w:t>
      </w:r>
      <w:r w:rsidRPr="00BB3D77">
        <w:rPr>
          <w:i/>
          <w:iCs/>
        </w:rPr>
        <w:t>mensions: Labour force participation</w:t>
      </w:r>
      <w:r w:rsidRPr="00BB3D77">
        <w:t xml:space="preserve"> and </w:t>
      </w:r>
      <w:r w:rsidRPr="00BB3D77">
        <w:rPr>
          <w:i/>
          <w:iCs/>
        </w:rPr>
        <w:t>employ</w:t>
      </w:r>
      <w:r w:rsidR="00DA3BC0" w:rsidRPr="00BB3D77">
        <w:rPr>
          <w:i/>
          <w:iCs/>
        </w:rPr>
        <w:t>ment</w:t>
      </w:r>
      <w:r w:rsidRPr="00BB3D77">
        <w:t xml:space="preserve">. </w:t>
      </w:r>
      <w:r w:rsidRPr="00BB3D77">
        <w:rPr>
          <w:i/>
          <w:iCs/>
        </w:rPr>
        <w:t>Labour force participation</w:t>
      </w:r>
      <w:r w:rsidRPr="00BB3D77">
        <w:t xml:space="preserve"> is the proportion of the population, aged 20</w:t>
      </w:r>
      <w:r w:rsidR="003F0941" w:rsidRPr="00BB3D77">
        <w:t xml:space="preserve"> to </w:t>
      </w:r>
      <w:r w:rsidRPr="00BB3D77">
        <w:t xml:space="preserve">65, that </w:t>
      </w:r>
      <w:r w:rsidR="004101A5" w:rsidRPr="00BB3D77">
        <w:t>was</w:t>
      </w:r>
      <w:r w:rsidRPr="00BB3D77">
        <w:t xml:space="preserve"> in the labour force </w:t>
      </w:r>
      <w:r w:rsidR="005A514A" w:rsidRPr="00BB3D77">
        <w:t>a</w:t>
      </w:r>
      <w:r w:rsidRPr="00BB3D77">
        <w:t xml:space="preserve"> </w:t>
      </w:r>
      <w:r w:rsidRPr="00BB3D77">
        <w:lastRenderedPageBreak/>
        <w:t>week prior to census day (i.e.</w:t>
      </w:r>
      <w:r w:rsidR="003F0941" w:rsidRPr="00BB3D77">
        <w:t>,</w:t>
      </w:r>
      <w:r w:rsidRPr="00BB3D77">
        <w:t xml:space="preserve"> those individuals categorized as </w:t>
      </w:r>
      <w:r w:rsidR="00682DA4" w:rsidRPr="00BB3D77">
        <w:t xml:space="preserve">either </w:t>
      </w:r>
      <w:r w:rsidRPr="00BB3D77">
        <w:t xml:space="preserve">employed or unemployed by Statistics Canada). </w:t>
      </w:r>
      <w:r w:rsidRPr="00BB3D77">
        <w:rPr>
          <w:i/>
          <w:iCs/>
        </w:rPr>
        <w:t>Employ</w:t>
      </w:r>
      <w:r w:rsidR="00DA3BC0" w:rsidRPr="00BB3D77">
        <w:rPr>
          <w:i/>
          <w:iCs/>
        </w:rPr>
        <w:t>ment</w:t>
      </w:r>
      <w:r w:rsidRPr="00BB3D77">
        <w:t xml:space="preserve"> is calculated as the percentage of labour force participants, aged 20-65</w:t>
      </w:r>
      <w:r w:rsidR="00813112" w:rsidRPr="00BB3D77">
        <w:t>,</w:t>
      </w:r>
      <w:r w:rsidRPr="00BB3D77">
        <w:t xml:space="preserve"> who were employed </w:t>
      </w:r>
      <w:r w:rsidR="00EA256C" w:rsidRPr="00BB3D77">
        <w:t>a</w:t>
      </w:r>
      <w:r w:rsidRPr="00BB3D77">
        <w:t xml:space="preserve"> week prior to census day. </w:t>
      </w:r>
      <w:r w:rsidRPr="00BB3D77">
        <w:rPr>
          <w:i/>
          <w:iCs/>
        </w:rPr>
        <w:t>Employment</w:t>
      </w:r>
      <w:r w:rsidRPr="00BB3D77">
        <w:t xml:space="preserve"> and </w:t>
      </w:r>
      <w:r w:rsidRPr="00BB3D77">
        <w:rPr>
          <w:i/>
          <w:iCs/>
        </w:rPr>
        <w:t>labour force participation</w:t>
      </w:r>
      <w:r w:rsidRPr="00BB3D77">
        <w:t xml:space="preserve"> </w:t>
      </w:r>
      <w:r w:rsidR="00DA3BC0" w:rsidRPr="00BB3D77">
        <w:t>represent</w:t>
      </w:r>
      <w:r w:rsidRPr="00BB3D77">
        <w:t xml:space="preserve"> an individual</w:t>
      </w:r>
      <w:r w:rsidR="00DA3BC0" w:rsidRPr="00BB3D77">
        <w:t>’s ability</w:t>
      </w:r>
      <w:r w:rsidRPr="00BB3D77">
        <w:t xml:space="preserve"> </w:t>
      </w:r>
      <w:r w:rsidR="00600DA6" w:rsidRPr="00BB3D77">
        <w:t xml:space="preserve">and willingness </w:t>
      </w:r>
      <w:r w:rsidRPr="00BB3D77">
        <w:t>to find work. Th</w:t>
      </w:r>
      <w:r w:rsidR="00DA3BC0" w:rsidRPr="00BB3D77">
        <w:t>e labour</w:t>
      </w:r>
      <w:r w:rsidRPr="00BB3D77">
        <w:t xml:space="preserve"> component also reflects the </w:t>
      </w:r>
      <w:r w:rsidR="00483EDF" w:rsidRPr="00BB3D77">
        <w:t>extent to which</w:t>
      </w:r>
      <w:r w:rsidRPr="00BB3D77">
        <w:t xml:space="preserve"> </w:t>
      </w:r>
      <w:r w:rsidR="00483EDF" w:rsidRPr="00BB3D77">
        <w:t xml:space="preserve">represented </w:t>
      </w:r>
      <w:r w:rsidRPr="00BB3D77">
        <w:t>communit</w:t>
      </w:r>
      <w:r w:rsidR="00483EDF" w:rsidRPr="00BB3D77">
        <w:t>ies</w:t>
      </w:r>
      <w:r w:rsidRPr="00BB3D77">
        <w:t xml:space="preserve"> </w:t>
      </w:r>
      <w:r w:rsidR="00483EDF" w:rsidRPr="00BB3D77">
        <w:t xml:space="preserve">participate </w:t>
      </w:r>
      <w:r w:rsidRPr="00BB3D77">
        <w:t xml:space="preserve">in the </w:t>
      </w:r>
      <w:r w:rsidR="00B16BFB" w:rsidRPr="00BB3D77">
        <w:t>wage</w:t>
      </w:r>
      <w:r w:rsidR="00483EDF" w:rsidRPr="00BB3D77">
        <w:t xml:space="preserve"> </w:t>
      </w:r>
      <w:r w:rsidRPr="00BB3D77">
        <w:t xml:space="preserve">economy. </w:t>
      </w:r>
    </w:p>
    <w:p w14:paraId="0237FE0D" w14:textId="77777777" w:rsidR="008B035C" w:rsidRPr="00BB3D77" w:rsidRDefault="008B035C" w:rsidP="00C13735">
      <w:pPr>
        <w:pStyle w:val="Heading3"/>
      </w:pPr>
      <w:bookmarkStart w:id="29" w:name="_Toc136865085"/>
      <w:r w:rsidRPr="00BB3D77">
        <w:t>Income</w:t>
      </w:r>
      <w:bookmarkEnd w:id="29"/>
    </w:p>
    <w:p w14:paraId="3919E3A8" w14:textId="52FF01F6" w:rsidR="008B035C" w:rsidRPr="00BB3D77" w:rsidRDefault="008B035C" w:rsidP="008B035C">
      <w:pPr>
        <w:pStyle w:val="Body"/>
      </w:pPr>
      <w:r w:rsidRPr="00BB3D77">
        <w:t xml:space="preserve">Income is </w:t>
      </w:r>
      <w:r w:rsidR="00961CA7" w:rsidRPr="00BB3D77">
        <w:t xml:space="preserve">calculated on a per capita basis as </w:t>
      </w:r>
      <w:r w:rsidRPr="00BB3D77">
        <w:t>the total income in a community divided by the total population of the community. This value is then transformed into its logarithm</w:t>
      </w:r>
      <w:r w:rsidR="00AF4C94" w:rsidRPr="00BB3D77">
        <w:rPr>
          <w:rStyle w:val="FootnoteReference"/>
        </w:rPr>
        <w:footnoteReference w:id="13"/>
      </w:r>
      <w:r w:rsidRPr="00BB3D77">
        <w:t xml:space="preserve"> </w:t>
      </w:r>
      <w:r w:rsidR="00201AA2" w:rsidRPr="00BB3D77">
        <w:t>and converted to a 0-100 scale</w:t>
      </w:r>
      <w:r w:rsidR="00AF4C94" w:rsidRPr="00BB3D77">
        <w:t xml:space="preserve">. </w:t>
      </w:r>
      <w:r w:rsidR="00201AA2" w:rsidRPr="00BB3D77">
        <w:t>Th</w:t>
      </w:r>
      <w:r w:rsidRPr="00BB3D77">
        <w:t>is</w:t>
      </w:r>
      <w:r w:rsidR="00AF4C94" w:rsidRPr="00BB3D77">
        <w:t xml:space="preserve"> component </w:t>
      </w:r>
      <w:r w:rsidR="008569AC" w:rsidRPr="00BB3D77">
        <w:t xml:space="preserve">measures </w:t>
      </w:r>
      <w:r w:rsidR="00880D6E" w:rsidRPr="00BB3D77">
        <w:t>an individual’s</w:t>
      </w:r>
      <w:r w:rsidRPr="00BB3D77">
        <w:t xml:space="preserve"> ability to purchase </w:t>
      </w:r>
      <w:r w:rsidR="00880D6E" w:rsidRPr="00BB3D77">
        <w:t xml:space="preserve">vital </w:t>
      </w:r>
      <w:r w:rsidRPr="00BB3D77">
        <w:t xml:space="preserve">necessities and </w:t>
      </w:r>
      <w:r w:rsidR="00880D6E" w:rsidRPr="00BB3D77">
        <w:t>other</w:t>
      </w:r>
      <w:r w:rsidRPr="00BB3D77">
        <w:t xml:space="preserve"> goods.  </w:t>
      </w:r>
    </w:p>
    <w:p w14:paraId="313F80F2" w14:textId="77777777" w:rsidR="008B035C" w:rsidRPr="00BB3D77" w:rsidRDefault="008B035C" w:rsidP="00C13735">
      <w:pPr>
        <w:pStyle w:val="Heading3"/>
      </w:pPr>
      <w:bookmarkStart w:id="30" w:name="_Toc136865086"/>
      <w:r w:rsidRPr="00BB3D77">
        <w:t>Housing</w:t>
      </w:r>
      <w:bookmarkEnd w:id="30"/>
    </w:p>
    <w:p w14:paraId="6C429762" w14:textId="774A8242" w:rsidR="008B035C" w:rsidRPr="00BB3D77" w:rsidRDefault="008B035C" w:rsidP="008B035C">
      <w:pPr>
        <w:pStyle w:val="Body"/>
      </w:pPr>
      <w:r w:rsidRPr="00BB3D77">
        <w:t xml:space="preserve">Housing is composed of </w:t>
      </w:r>
      <w:r w:rsidRPr="00BB3D77">
        <w:rPr>
          <w:i/>
        </w:rPr>
        <w:t>housing quantity</w:t>
      </w:r>
      <w:r w:rsidRPr="00BB3D77">
        <w:t xml:space="preserve"> and </w:t>
      </w:r>
      <w:r w:rsidRPr="00BB3D77">
        <w:rPr>
          <w:i/>
        </w:rPr>
        <w:t>housing quality</w:t>
      </w:r>
      <w:r w:rsidRPr="00BB3D77">
        <w:t xml:space="preserve">. </w:t>
      </w:r>
      <w:r w:rsidRPr="00BB3D77">
        <w:rPr>
          <w:i/>
        </w:rPr>
        <w:t>Housing quantity</w:t>
      </w:r>
      <w:r w:rsidRPr="00BB3D77">
        <w:t xml:space="preserve"> is the proportion of the population that lives in dwellings with one or fewer persons per room. </w:t>
      </w:r>
      <w:r w:rsidRPr="00BB3D77">
        <w:rPr>
          <w:i/>
        </w:rPr>
        <w:t>Housing quality</w:t>
      </w:r>
      <w:r w:rsidRPr="00BB3D77">
        <w:t xml:space="preserve"> </w:t>
      </w:r>
      <w:r w:rsidR="00880D6E" w:rsidRPr="00BB3D77">
        <w:t xml:space="preserve">is </w:t>
      </w:r>
      <w:r w:rsidRPr="00BB3D77">
        <w:t>the proportion of the population that lives in dwellings which require only minor or regular maintenance. Poor housing conditions have a direct impact on wellbeing and indicate a general lack of resources.</w:t>
      </w:r>
    </w:p>
    <w:p w14:paraId="00740515" w14:textId="03EA926E" w:rsidR="003C21C4" w:rsidRPr="00BB3D77" w:rsidRDefault="003C21C4" w:rsidP="00C13735">
      <w:pPr>
        <w:pStyle w:val="Heading3"/>
      </w:pPr>
      <w:bookmarkStart w:id="31" w:name="_Toc136865087"/>
      <w:r w:rsidRPr="00BB3D77">
        <w:t>Remoteness Index</w:t>
      </w:r>
      <w:bookmarkEnd w:id="31"/>
    </w:p>
    <w:p w14:paraId="59002701" w14:textId="3DC72E4F" w:rsidR="003C21C4" w:rsidRPr="00BB3D77" w:rsidRDefault="00B348AF" w:rsidP="00B348AF">
      <w:pPr>
        <w:pStyle w:val="Body"/>
      </w:pPr>
      <w:r w:rsidRPr="00BB3D77">
        <w:t xml:space="preserve">An invaluable resource for </w:t>
      </w:r>
      <w:r w:rsidR="004A73FF" w:rsidRPr="00BB3D77">
        <w:t>CWB</w:t>
      </w:r>
      <w:r w:rsidRPr="00BB3D77">
        <w:t xml:space="preserve"> analysis </w:t>
      </w:r>
      <w:r w:rsidR="004A73FF" w:rsidRPr="00BB3D77">
        <w:t>is</w:t>
      </w:r>
      <w:r w:rsidRPr="00BB3D77">
        <w:t xml:space="preserve"> a set of </w:t>
      </w:r>
      <w:r w:rsidR="00D70E99" w:rsidRPr="00BB3D77">
        <w:t xml:space="preserve">geospatial </w:t>
      </w:r>
      <w:r w:rsidR="00642282" w:rsidRPr="00BB3D77">
        <w:t>measures</w:t>
      </w:r>
      <w:r w:rsidRPr="00BB3D77">
        <w:t xml:space="preserve"> developed by Statistics Canada’s Centre for Special Business Projects—in consultation with </w:t>
      </w:r>
      <w:r w:rsidR="004A73FF" w:rsidRPr="00BB3D77">
        <w:t>ISC staff</w:t>
      </w:r>
      <w:r w:rsidRPr="00BB3D77">
        <w:t xml:space="preserve"> and other federal departments—to measure community remoteness and accessibility. (We refer to this resource as the Remoteness Index in our discussion.</w:t>
      </w:r>
      <w:r w:rsidR="00EF3E31" w:rsidRPr="00BB3D77">
        <w:rPr>
          <w:rStyle w:val="FootnoteReference"/>
        </w:rPr>
        <w:footnoteReference w:id="14"/>
      </w:r>
      <w:r w:rsidRPr="00BB3D77">
        <w:t>)</w:t>
      </w:r>
      <w:r w:rsidR="005E2E6E" w:rsidRPr="00BB3D77">
        <w:t xml:space="preserve">  The Remoteness Index </w:t>
      </w:r>
      <w:r w:rsidR="00ED4993" w:rsidRPr="00BB3D77">
        <w:t xml:space="preserve">measures a community’s relative remoteness and access to various services on a </w:t>
      </w:r>
      <w:r w:rsidR="003B5D5B" w:rsidRPr="00BB3D77">
        <w:t xml:space="preserve">continuous </w:t>
      </w:r>
      <w:r w:rsidR="00ED4993" w:rsidRPr="00BB3D77">
        <w:t xml:space="preserve">scale from </w:t>
      </w:r>
      <w:r w:rsidR="009E4C7F" w:rsidRPr="00BB3D77">
        <w:t>zero</w:t>
      </w:r>
      <w:r w:rsidR="00ED4993" w:rsidRPr="00BB3D77">
        <w:t xml:space="preserve"> to </w:t>
      </w:r>
      <w:r w:rsidR="009E4C7F" w:rsidRPr="00BB3D77">
        <w:t>one</w:t>
      </w:r>
      <w:r w:rsidR="00ED4993" w:rsidRPr="00BB3D77">
        <w:t>.</w:t>
      </w:r>
      <w:r w:rsidR="00D220D7" w:rsidRPr="00BB3D77">
        <w:t xml:space="preserve"> </w:t>
      </w:r>
      <w:r w:rsidR="009E4C7F" w:rsidRPr="00BB3D77">
        <w:t>Zero</w:t>
      </w:r>
      <w:r w:rsidR="003B5D5B" w:rsidRPr="00BB3D77">
        <w:t xml:space="preserve"> corresponds to the minimum value of remoteness</w:t>
      </w:r>
      <w:r w:rsidR="00D82EC1" w:rsidRPr="00BB3D77">
        <w:t xml:space="preserve"> (least)</w:t>
      </w:r>
      <w:r w:rsidR="003B5D5B" w:rsidRPr="00BB3D77">
        <w:t xml:space="preserve"> and </w:t>
      </w:r>
      <w:r w:rsidR="009E4C7F" w:rsidRPr="00BB3D77">
        <w:t>one</w:t>
      </w:r>
      <w:r w:rsidR="003B5D5B" w:rsidRPr="00BB3D77">
        <w:t xml:space="preserve"> correspond</w:t>
      </w:r>
      <w:r w:rsidR="001E3FAE" w:rsidRPr="00BB3D77">
        <w:t>s</w:t>
      </w:r>
      <w:r w:rsidR="003B5D5B" w:rsidRPr="00BB3D77">
        <w:t xml:space="preserve"> </w:t>
      </w:r>
      <w:r w:rsidR="003B5D5B" w:rsidRPr="00BB3D77">
        <w:lastRenderedPageBreak/>
        <w:t>to the maximum value</w:t>
      </w:r>
      <w:r w:rsidR="00D82EC1" w:rsidRPr="00BB3D77">
        <w:t xml:space="preserve"> (most remote)</w:t>
      </w:r>
      <w:r w:rsidR="003B5D5B" w:rsidRPr="00BB3D77">
        <w:t>.</w:t>
      </w:r>
      <w:r w:rsidR="001634DE" w:rsidRPr="00BB3D77">
        <w:rPr>
          <w:rStyle w:val="FootnoteReference"/>
        </w:rPr>
        <w:footnoteReference w:id="15"/>
      </w:r>
      <w:r w:rsidR="00D16925" w:rsidRPr="00BB3D77">
        <w:rPr>
          <w:vertAlign w:val="superscript"/>
        </w:rPr>
        <w:t>,</w:t>
      </w:r>
      <w:r w:rsidR="006111A6" w:rsidRPr="00BB3D77">
        <w:rPr>
          <w:rStyle w:val="FootnoteReference"/>
        </w:rPr>
        <w:footnoteReference w:id="16"/>
      </w:r>
      <w:r w:rsidR="003B5D5B" w:rsidRPr="00BB3D77">
        <w:t xml:space="preserve"> </w:t>
      </w:r>
      <w:r w:rsidR="00C94363" w:rsidRPr="00BB3D77">
        <w:t>As part of the suite</w:t>
      </w:r>
      <w:r w:rsidR="003B5D5B" w:rsidRPr="00BB3D77">
        <w:t xml:space="preserve">, Statistics Canada </w:t>
      </w:r>
      <w:r w:rsidR="009410E1" w:rsidRPr="00BB3D77">
        <w:t>staff crea</w:t>
      </w:r>
      <w:r w:rsidR="00B036DE" w:rsidRPr="00BB3D77">
        <w:t>ted an accompanying measure of how accessible banking and other credit intermediation services were to communities. This scale (called NAICS 5</w:t>
      </w:r>
      <w:r w:rsidR="00926A0E" w:rsidRPr="00BB3D77">
        <w:t>22 after the corresponding industry classification code</w:t>
      </w:r>
      <w:r w:rsidR="00B036DE" w:rsidRPr="00BB3D77">
        <w:t xml:space="preserve">) </w:t>
      </w:r>
      <w:r w:rsidR="001E3FAE" w:rsidRPr="00BB3D77">
        <w:t>resembles</w:t>
      </w:r>
      <w:r w:rsidR="00736243" w:rsidRPr="00BB3D77">
        <w:t xml:space="preserve"> the Remoteness Index</w:t>
      </w:r>
      <w:r w:rsidR="001E3FAE" w:rsidRPr="00BB3D77">
        <w:t>,</w:t>
      </w:r>
      <w:r w:rsidR="00736243" w:rsidRPr="00BB3D77">
        <w:t xml:space="preserve"> except that a higher value (up to </w:t>
      </w:r>
      <w:r w:rsidR="001E3FAE" w:rsidRPr="00BB3D77">
        <w:t>one</w:t>
      </w:r>
      <w:r w:rsidR="00736243" w:rsidRPr="00BB3D77">
        <w:t xml:space="preserve">) represents </w:t>
      </w:r>
      <w:r w:rsidR="00DD51C0" w:rsidRPr="00BB3D77">
        <w:t>closer</w:t>
      </w:r>
      <w:r w:rsidR="00736243" w:rsidRPr="00BB3D77">
        <w:t xml:space="preserve"> proximity to </w:t>
      </w:r>
      <w:r w:rsidR="00833061" w:rsidRPr="00BB3D77">
        <w:t>a bank or similar credit intermediation service.</w:t>
      </w:r>
    </w:p>
    <w:p w14:paraId="57C47394" w14:textId="39605478" w:rsidR="004C4E83" w:rsidRPr="00BB3D77" w:rsidRDefault="007A4838" w:rsidP="00C13735">
      <w:pPr>
        <w:pStyle w:val="Heading3"/>
      </w:pPr>
      <w:bookmarkStart w:id="32" w:name="_Toc136865088"/>
      <w:r w:rsidRPr="00BB3D77">
        <w:t>Locating</w:t>
      </w:r>
      <w:r w:rsidR="00183220" w:rsidRPr="00BB3D77">
        <w:t xml:space="preserve"> </w:t>
      </w:r>
      <w:r w:rsidR="006E748D">
        <w:t>IFI</w:t>
      </w:r>
      <w:r w:rsidR="00183220" w:rsidRPr="00BB3D77">
        <w:t xml:space="preserve"> client communities</w:t>
      </w:r>
      <w:r w:rsidRPr="00BB3D77">
        <w:t xml:space="preserve"> along the CWB</w:t>
      </w:r>
      <w:bookmarkEnd w:id="32"/>
    </w:p>
    <w:p w14:paraId="4BC30BFC" w14:textId="5C954B86" w:rsidR="004C4E83" w:rsidRPr="00BB3D77" w:rsidRDefault="007866C0" w:rsidP="004C4E83">
      <w:pPr>
        <w:pStyle w:val="Body"/>
        <w:spacing w:before="360"/>
      </w:pPr>
      <w:r w:rsidRPr="00BB3D77">
        <w:t>We now</w:t>
      </w:r>
      <w:r w:rsidR="00324D07" w:rsidRPr="00BB3D77">
        <w:t xml:space="preserve"> look at</w:t>
      </w:r>
      <w:r w:rsidR="004C4E83" w:rsidRPr="00BB3D77">
        <w:t xml:space="preserve"> </w:t>
      </w:r>
      <w:r w:rsidR="00324D07" w:rsidRPr="00BB3D77">
        <w:t>where</w:t>
      </w:r>
      <w:r w:rsidR="004C4E83" w:rsidRPr="00BB3D77">
        <w:t xml:space="preserve"> </w:t>
      </w:r>
      <w:r w:rsidR="006E748D">
        <w:t>IFI</w:t>
      </w:r>
      <w:r w:rsidR="004C4E83" w:rsidRPr="00BB3D77">
        <w:t xml:space="preserve"> client communities rank along the </w:t>
      </w:r>
      <w:r w:rsidR="00EE0CB8" w:rsidRPr="00BB3D77">
        <w:t xml:space="preserve">CWB </w:t>
      </w:r>
      <w:r w:rsidR="004C4E83" w:rsidRPr="00BB3D77">
        <w:t xml:space="preserve">index. The index </w:t>
      </w:r>
      <w:r w:rsidR="00324D07" w:rsidRPr="00BB3D77">
        <w:t>and each of its components</w:t>
      </w:r>
      <w:r w:rsidR="004C4E83" w:rsidRPr="00BB3D77">
        <w:t xml:space="preserve"> go from 0 to 100. 100 equals the highest levels of education, employment, income, and housing quality captured. 50 serves as a </w:t>
      </w:r>
      <w:r w:rsidR="009D378C" w:rsidRPr="00BB3D77">
        <w:t>relative mid</w:t>
      </w:r>
      <w:r w:rsidR="004C4E83" w:rsidRPr="00BB3D77">
        <w:t>point between developing and underdeveloped communities</w:t>
      </w:r>
      <w:r w:rsidR="00183220" w:rsidRPr="00BB3D77">
        <w:t>.</w:t>
      </w:r>
      <w:r w:rsidR="004C4E83" w:rsidRPr="00BB3D77">
        <w:t xml:space="preserve"> </w:t>
      </w:r>
    </w:p>
    <w:p w14:paraId="333FAEE9" w14:textId="3BDC0CA1" w:rsidR="004C4E83" w:rsidRPr="00BB3D77" w:rsidRDefault="00787BEC" w:rsidP="004C4E83">
      <w:pPr>
        <w:pStyle w:val="Body"/>
      </w:pPr>
      <w:r w:rsidRPr="00BB3D77">
        <w:t>The average CWB score for First Nations was 58.4 in 2016.  In comparison,</w:t>
      </w:r>
      <w:r w:rsidR="004C4E83" w:rsidRPr="00BB3D77">
        <w:t xml:space="preserve"> the average </w:t>
      </w:r>
      <w:r w:rsidR="007A4838" w:rsidRPr="00BB3D77">
        <w:t xml:space="preserve">client </w:t>
      </w:r>
      <w:r w:rsidR="00EF635F" w:rsidRPr="00BB3D77">
        <w:t xml:space="preserve">First Nation </w:t>
      </w:r>
      <w:r w:rsidR="004C4E83" w:rsidRPr="00BB3D77">
        <w:t xml:space="preserve">in </w:t>
      </w:r>
      <w:r w:rsidR="001A7B2C">
        <w:t xml:space="preserve">the ABFP and ADLA datasets </w:t>
      </w:r>
      <w:r w:rsidR="004C4E83" w:rsidRPr="00BB3D77">
        <w:t xml:space="preserve">scored a 63, </w:t>
      </w:r>
      <w:r w:rsidRPr="00BB3D77">
        <w:t xml:space="preserve">while the </w:t>
      </w:r>
      <w:r w:rsidR="006E748D">
        <w:t>IFI</w:t>
      </w:r>
      <w:r w:rsidRPr="00BB3D77">
        <w:t xml:space="preserve"> </w:t>
      </w:r>
      <w:r w:rsidR="004C4E83" w:rsidRPr="00BB3D77">
        <w:t xml:space="preserve">client community </w:t>
      </w:r>
      <w:r w:rsidRPr="00BB3D77">
        <w:t>of</w:t>
      </w:r>
      <w:r w:rsidR="004C4E83" w:rsidRPr="00BB3D77">
        <w:t xml:space="preserve"> Wendake</w:t>
      </w:r>
      <w:r w:rsidR="00EF635F" w:rsidRPr="00BB3D77">
        <w:t xml:space="preserve">, in Quebec, </w:t>
      </w:r>
      <w:r w:rsidR="004C4E83" w:rsidRPr="00BB3D77">
        <w:t>score</w:t>
      </w:r>
      <w:r w:rsidR="00A1631D" w:rsidRPr="00BB3D77">
        <w:t>d</w:t>
      </w:r>
      <w:r w:rsidR="004C4E83" w:rsidRPr="00BB3D77">
        <w:t xml:space="preserve"> an 80</w:t>
      </w:r>
      <w:r w:rsidR="00A1631D" w:rsidRPr="00BB3D77">
        <w:t xml:space="preserve">. Wendake’s position on the index also exceeds the </w:t>
      </w:r>
      <w:r w:rsidR="005B7B73" w:rsidRPr="00BB3D77">
        <w:t>average CWB score for non-Indigenous communities in 2016 (77.5)</w:t>
      </w:r>
      <w:r w:rsidR="004C4E83" w:rsidRPr="00BB3D77">
        <w:t xml:space="preserve">.  </w:t>
      </w:r>
    </w:p>
    <w:p w14:paraId="39879557" w14:textId="1C40305E" w:rsidR="001043C1" w:rsidRPr="00BB3D77" w:rsidRDefault="001043C1" w:rsidP="001043C1">
      <w:pPr>
        <w:pStyle w:val="Body"/>
      </w:pPr>
      <w:r w:rsidRPr="00BB3D77">
        <w:t xml:space="preserve">Out of a total leverage of $233 million that could be traced to client businesses located in First Nation communities, 19 per cent went to businesses in communities that scored lower than 50, and 3 per cent went to businesses in communities that scored higher than 77.5 (the non-Indigenous community average score in 2016). </w:t>
      </w:r>
    </w:p>
    <w:p w14:paraId="78E29E02" w14:textId="2E861C90" w:rsidR="00665A78" w:rsidRPr="00BB3D77" w:rsidRDefault="00665A78" w:rsidP="00665A78">
      <w:pPr>
        <w:pStyle w:val="Body"/>
      </w:pPr>
      <w:r w:rsidRPr="00BB3D77">
        <w:t xml:space="preserve">Table 1 </w:t>
      </w:r>
      <w:r w:rsidR="001F5944" w:rsidRPr="00BB3D77">
        <w:t>takes a closer look at</w:t>
      </w:r>
      <w:r w:rsidRPr="00BB3D77">
        <w:t xml:space="preserve"> Wendake</w:t>
      </w:r>
      <w:r w:rsidR="001F5944" w:rsidRPr="00BB3D77">
        <w:t>’s component CWB scores</w:t>
      </w:r>
      <w:r w:rsidRPr="00BB3D77">
        <w:t xml:space="preserve"> </w:t>
      </w:r>
      <w:r w:rsidR="001F5944" w:rsidRPr="00BB3D77">
        <w:t>to examine wh</w:t>
      </w:r>
      <w:r w:rsidR="00D95C91" w:rsidRPr="00BB3D77">
        <w:t>ich</w:t>
      </w:r>
      <w:r w:rsidR="001F5944" w:rsidRPr="00BB3D77">
        <w:t xml:space="preserve"> </w:t>
      </w:r>
      <w:r w:rsidR="009957FC" w:rsidRPr="00BB3D77">
        <w:t>areas of development may be contributing to its higher overall score</w:t>
      </w:r>
      <w:r w:rsidRPr="00BB3D77">
        <w:t xml:space="preserve">. </w:t>
      </w:r>
      <w:r w:rsidR="009957FC" w:rsidRPr="00BB3D77">
        <w:t xml:space="preserve">The table </w:t>
      </w:r>
      <w:r w:rsidR="00B74B99" w:rsidRPr="00BB3D77">
        <w:t>features</w:t>
      </w:r>
      <w:r w:rsidRPr="00BB3D77">
        <w:t xml:space="preserve"> </w:t>
      </w:r>
      <w:r w:rsidR="00E62410" w:rsidRPr="00BB3D77">
        <w:t>two</w:t>
      </w:r>
      <w:r w:rsidRPr="00BB3D77">
        <w:t xml:space="preserve"> other </w:t>
      </w:r>
      <w:r w:rsidR="007A4838" w:rsidRPr="00BB3D77">
        <w:t>First Nations</w:t>
      </w:r>
      <w:r w:rsidRPr="00BB3D77">
        <w:t xml:space="preserve"> in the </w:t>
      </w:r>
      <w:r w:rsidR="001A7B2C">
        <w:t>ABFP and ADLA datasets</w:t>
      </w:r>
      <w:r w:rsidRPr="00BB3D77">
        <w:t xml:space="preserve"> </w:t>
      </w:r>
      <w:r w:rsidR="00B74B99" w:rsidRPr="00BB3D77">
        <w:t xml:space="preserve">including </w:t>
      </w:r>
      <w:r w:rsidRPr="00BB3D77">
        <w:t xml:space="preserve">White Cap Dakota, </w:t>
      </w:r>
      <w:r w:rsidR="00163BD9" w:rsidRPr="00BB3D77">
        <w:t xml:space="preserve">a community well known for its economic development initiatives, </w:t>
      </w:r>
      <w:r w:rsidRPr="00BB3D77">
        <w:t xml:space="preserve">and a small remote First Nation that represents the lower end of the CWB index. The numbers </w:t>
      </w:r>
      <w:r w:rsidR="00A327A2" w:rsidRPr="00BB3D77">
        <w:t xml:space="preserve">highlighted are </w:t>
      </w:r>
      <w:r w:rsidRPr="00BB3D77">
        <w:t>a</w:t>
      </w:r>
      <w:r w:rsidR="00B310DE" w:rsidRPr="00BB3D77">
        <w:t xml:space="preserve">ll based on </w:t>
      </w:r>
      <w:r w:rsidRPr="00BB3D77">
        <w:t xml:space="preserve">the 2016 Census for First Nations members of the communities. </w:t>
      </w:r>
    </w:p>
    <w:p w14:paraId="0C30F87E" w14:textId="0F9601BC" w:rsidR="00F34635" w:rsidRPr="00BB3D77" w:rsidRDefault="00B310DE" w:rsidP="00F34635">
      <w:pPr>
        <w:pStyle w:val="Chart"/>
      </w:pPr>
      <w:bookmarkStart w:id="33" w:name="_Ref114739983"/>
      <w:r w:rsidRPr="00BB3D77">
        <w:t xml:space="preserve">Table </w:t>
      </w:r>
      <w:r w:rsidR="00F4140C">
        <w:fldChar w:fldCharType="begin"/>
      </w:r>
      <w:r w:rsidR="00F4140C">
        <w:instrText xml:space="preserve"> SEQ Table \* ARABIC </w:instrText>
      </w:r>
      <w:r w:rsidR="00F4140C">
        <w:fldChar w:fldCharType="separate"/>
      </w:r>
      <w:r w:rsidR="00220F3D">
        <w:rPr>
          <w:noProof/>
        </w:rPr>
        <w:t>1</w:t>
      </w:r>
      <w:r w:rsidR="00F4140C">
        <w:rPr>
          <w:noProof/>
        </w:rPr>
        <w:fldChar w:fldCharType="end"/>
      </w:r>
      <w:bookmarkEnd w:id="33"/>
    </w:p>
    <w:p w14:paraId="71C20FA3" w14:textId="5E177CBF" w:rsidR="00B310DE" w:rsidRPr="00BB3D77" w:rsidRDefault="00B310DE" w:rsidP="00F34635">
      <w:pPr>
        <w:pStyle w:val="Chart"/>
      </w:pPr>
      <w:r w:rsidRPr="00BB3D77">
        <w:t xml:space="preserve">2016 CWB component scores for </w:t>
      </w:r>
      <w:r w:rsidR="005956EE">
        <w:t>three</w:t>
      </w:r>
      <w:r w:rsidRPr="00BB3D77">
        <w:t xml:space="preserve"> </w:t>
      </w:r>
      <w:r w:rsidR="006E748D">
        <w:t>IFI</w:t>
      </w:r>
      <w:r w:rsidRPr="00BB3D77">
        <w:t xml:space="preserve"> client communities (2016 Census)</w:t>
      </w:r>
    </w:p>
    <w:p w14:paraId="49BB26FA" w14:textId="77777777" w:rsidR="00F34635" w:rsidRPr="00BB3D77" w:rsidRDefault="00F34635" w:rsidP="00F34635">
      <w:pPr>
        <w:pStyle w:val="Chart"/>
      </w:pPr>
    </w:p>
    <w:tbl>
      <w:tblPr>
        <w:tblStyle w:val="LightShading-Accent13"/>
        <w:tblW w:w="8756" w:type="dxa"/>
        <w:tblLook w:val="04A0" w:firstRow="1" w:lastRow="0" w:firstColumn="1" w:lastColumn="0" w:noHBand="0" w:noVBand="1"/>
      </w:tblPr>
      <w:tblGrid>
        <w:gridCol w:w="3730"/>
        <w:gridCol w:w="1510"/>
        <w:gridCol w:w="1519"/>
        <w:gridCol w:w="1997"/>
      </w:tblGrid>
      <w:tr w:rsidR="00D7687D" w:rsidRPr="00BB3D77" w14:paraId="1927B135" w14:textId="77777777" w:rsidTr="00D12A49">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vAlign w:val="center"/>
            <w:hideMark/>
          </w:tcPr>
          <w:p w14:paraId="5B20C55C" w14:textId="551DA288" w:rsidR="00B310DE" w:rsidRPr="00BB3D77" w:rsidRDefault="00B310DE" w:rsidP="00D37A76">
            <w:pPr>
              <w:spacing w:after="0" w:line="240" w:lineRule="auto"/>
              <w:jc w:val="center"/>
              <w:rPr>
                <w:rFonts w:ascii="Times New Roman" w:eastAsia="Times New Roman" w:hAnsi="Times New Roman" w:cs="Times New Roman"/>
                <w:sz w:val="24"/>
                <w:szCs w:val="24"/>
                <w:lang w:val="en-CA" w:eastAsia="en-CA"/>
              </w:rPr>
            </w:pPr>
            <w:r w:rsidRPr="00BB3D77">
              <w:rPr>
                <w:rFonts w:ascii="Calibri" w:eastAsia="Times New Roman" w:hAnsi="Calibri" w:cs="Calibri"/>
                <w:color w:val="000000"/>
                <w:lang w:val="en-CA" w:eastAsia="en-CA"/>
              </w:rPr>
              <w:t>CWB</w:t>
            </w:r>
            <w:r w:rsidR="00F2568B" w:rsidRPr="00BB3D77">
              <w:rPr>
                <w:rFonts w:ascii="Calibri" w:eastAsia="Times New Roman" w:hAnsi="Calibri" w:cs="Calibri"/>
                <w:color w:val="000000"/>
                <w:lang w:val="en-CA" w:eastAsia="en-CA"/>
              </w:rPr>
              <w:t xml:space="preserve"> and related measures</w:t>
            </w:r>
          </w:p>
        </w:tc>
        <w:tc>
          <w:tcPr>
            <w:tcW w:w="0" w:type="auto"/>
            <w:tcBorders>
              <w:left w:val="single" w:sz="4" w:space="0" w:color="auto"/>
            </w:tcBorders>
            <w:noWrap/>
            <w:vAlign w:val="center"/>
            <w:hideMark/>
          </w:tcPr>
          <w:p w14:paraId="1340316B" w14:textId="77777777" w:rsidR="00B310DE" w:rsidRPr="00BB3D77" w:rsidRDefault="00B310DE" w:rsidP="00D37A7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CA" w:eastAsia="en-CA"/>
              </w:rPr>
            </w:pPr>
            <w:r w:rsidRPr="00BB3D77">
              <w:rPr>
                <w:rFonts w:ascii="Calibri" w:eastAsia="Times New Roman" w:hAnsi="Calibri" w:cs="Calibri"/>
                <w:color w:val="000000"/>
                <w:lang w:val="en-CA" w:eastAsia="en-CA"/>
              </w:rPr>
              <w:t>Wendake</w:t>
            </w:r>
          </w:p>
        </w:tc>
        <w:tc>
          <w:tcPr>
            <w:tcW w:w="0" w:type="auto"/>
            <w:tcBorders>
              <w:left w:val="single" w:sz="4" w:space="0" w:color="auto"/>
            </w:tcBorders>
          </w:tcPr>
          <w:p w14:paraId="66CE0ABE" w14:textId="77777777" w:rsidR="00D12A49" w:rsidRPr="00BB3D77" w:rsidRDefault="00B310DE" w:rsidP="00D37A7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color w:val="000000"/>
                <w:lang w:val="en-CA" w:eastAsia="en-CA"/>
              </w:rPr>
            </w:pPr>
            <w:r w:rsidRPr="00BB3D77">
              <w:rPr>
                <w:rFonts w:ascii="Calibri" w:eastAsia="Times New Roman" w:hAnsi="Calibri" w:cs="Calibri"/>
                <w:color w:val="000000"/>
                <w:lang w:val="en-CA" w:eastAsia="en-CA"/>
              </w:rPr>
              <w:t xml:space="preserve">Whitecap </w:t>
            </w:r>
          </w:p>
          <w:p w14:paraId="20B484EE" w14:textId="4DFFBBA2" w:rsidR="00B310DE" w:rsidRPr="00BB3D77" w:rsidRDefault="00B310DE" w:rsidP="00D37A7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CA" w:eastAsia="en-CA"/>
              </w:rPr>
            </w:pPr>
            <w:r w:rsidRPr="00BB3D77">
              <w:rPr>
                <w:rFonts w:ascii="Calibri" w:eastAsia="Times New Roman" w:hAnsi="Calibri" w:cs="Calibri"/>
                <w:color w:val="000000"/>
                <w:lang w:val="en-CA" w:eastAsia="en-CA"/>
              </w:rPr>
              <w:t>Dakota</w:t>
            </w:r>
          </w:p>
        </w:tc>
        <w:tc>
          <w:tcPr>
            <w:tcW w:w="0" w:type="auto"/>
            <w:tcBorders>
              <w:left w:val="single" w:sz="4" w:space="0" w:color="auto"/>
            </w:tcBorders>
          </w:tcPr>
          <w:p w14:paraId="78AADD7B" w14:textId="77777777" w:rsidR="00D12A49" w:rsidRPr="00BB3D77" w:rsidRDefault="00B310DE" w:rsidP="00D37A7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color w:val="000000"/>
                <w:lang w:val="en-CA" w:eastAsia="en-CA"/>
              </w:rPr>
            </w:pPr>
            <w:r w:rsidRPr="00BB3D77">
              <w:rPr>
                <w:rFonts w:ascii="Calibri" w:eastAsia="Times New Roman" w:hAnsi="Calibri" w:cs="Calibri"/>
                <w:color w:val="000000"/>
                <w:lang w:val="en-CA" w:eastAsia="en-CA"/>
              </w:rPr>
              <w:t xml:space="preserve">Small remote </w:t>
            </w:r>
          </w:p>
          <w:p w14:paraId="485C54A2" w14:textId="0B709257" w:rsidR="00B310DE" w:rsidRPr="00BB3D77" w:rsidRDefault="00B310DE" w:rsidP="00D37A7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CA" w:eastAsia="en-CA"/>
              </w:rPr>
            </w:pPr>
            <w:r w:rsidRPr="00BB3D77">
              <w:rPr>
                <w:rFonts w:ascii="Calibri" w:eastAsia="Times New Roman" w:hAnsi="Calibri" w:cs="Calibri"/>
                <w:color w:val="000000"/>
                <w:lang w:val="en-CA" w:eastAsia="en-CA"/>
              </w:rPr>
              <w:t>First Nation</w:t>
            </w:r>
          </w:p>
        </w:tc>
      </w:tr>
      <w:tr w:rsidR="00D7687D" w:rsidRPr="00BB3D77" w14:paraId="60050E64" w14:textId="77777777" w:rsidTr="00D12A4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14:paraId="22C5F661" w14:textId="77777777" w:rsidR="00B310DE" w:rsidRPr="00BB3D77" w:rsidRDefault="00B310DE" w:rsidP="00D37A76">
            <w:pPr>
              <w:spacing w:after="0" w:line="240" w:lineRule="auto"/>
              <w:jc w:val="center"/>
              <w:rPr>
                <w:rFonts w:ascii="Calibri" w:eastAsia="Times New Roman" w:hAnsi="Calibri" w:cs="Calibri"/>
                <w:color w:val="auto"/>
                <w:lang w:val="en-CA" w:eastAsia="en-CA"/>
              </w:rPr>
            </w:pPr>
            <w:r w:rsidRPr="00BB3D77">
              <w:rPr>
                <w:color w:val="auto"/>
              </w:rPr>
              <w:t>2016 CWB</w:t>
            </w:r>
          </w:p>
        </w:tc>
        <w:tc>
          <w:tcPr>
            <w:tcW w:w="0" w:type="auto"/>
            <w:tcBorders>
              <w:left w:val="single" w:sz="4" w:space="0" w:color="auto"/>
            </w:tcBorders>
            <w:noWrap/>
            <w:hideMark/>
          </w:tcPr>
          <w:p w14:paraId="1F899C97" w14:textId="77777777" w:rsidR="00B310DE" w:rsidRPr="00BB3D77" w:rsidRDefault="00B310DE" w:rsidP="00D37A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val="0"/>
                <w:color w:val="auto"/>
                <w:lang w:val="en-CA" w:eastAsia="en-CA"/>
              </w:rPr>
            </w:pPr>
            <w:r w:rsidRPr="00BB3D77">
              <w:rPr>
                <w:color w:val="auto"/>
              </w:rPr>
              <w:t>80</w:t>
            </w:r>
          </w:p>
        </w:tc>
        <w:tc>
          <w:tcPr>
            <w:tcW w:w="0" w:type="auto"/>
            <w:tcBorders>
              <w:left w:val="single" w:sz="4" w:space="0" w:color="auto"/>
            </w:tcBorders>
          </w:tcPr>
          <w:p w14:paraId="7D490CEA" w14:textId="77777777" w:rsidR="00B310DE" w:rsidRPr="00BB3D77" w:rsidRDefault="00B310DE" w:rsidP="00D37A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val="0"/>
                <w:color w:val="auto"/>
                <w:lang w:val="en-CA" w:eastAsia="en-CA"/>
              </w:rPr>
            </w:pPr>
            <w:r w:rsidRPr="00BB3D77">
              <w:rPr>
                <w:color w:val="auto"/>
              </w:rPr>
              <w:t>73</w:t>
            </w:r>
          </w:p>
        </w:tc>
        <w:tc>
          <w:tcPr>
            <w:tcW w:w="0" w:type="auto"/>
            <w:tcBorders>
              <w:left w:val="single" w:sz="4" w:space="0" w:color="auto"/>
            </w:tcBorders>
          </w:tcPr>
          <w:p w14:paraId="768178D2" w14:textId="77777777" w:rsidR="00B310DE" w:rsidRPr="00BB3D77" w:rsidRDefault="00B310DE" w:rsidP="00D37A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val="0"/>
                <w:color w:val="auto"/>
                <w:lang w:val="en-CA" w:eastAsia="en-CA"/>
              </w:rPr>
            </w:pPr>
            <w:r w:rsidRPr="00BB3D77">
              <w:rPr>
                <w:color w:val="auto"/>
              </w:rPr>
              <w:t>40</w:t>
            </w:r>
          </w:p>
        </w:tc>
      </w:tr>
      <w:tr w:rsidR="00D7687D" w:rsidRPr="00BB3D77" w14:paraId="493E47A4" w14:textId="77777777" w:rsidTr="00D12A49">
        <w:trPr>
          <w:trHeight w:val="274"/>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tcPr>
          <w:p w14:paraId="3D060724" w14:textId="24C2628E" w:rsidR="00B310DE" w:rsidRPr="00BB3D77" w:rsidRDefault="00B310DE" w:rsidP="00D37A76">
            <w:pPr>
              <w:spacing w:after="0" w:line="240" w:lineRule="auto"/>
              <w:jc w:val="center"/>
              <w:rPr>
                <w:rFonts w:ascii="Calibri" w:eastAsia="Times New Roman" w:hAnsi="Calibri" w:cs="Calibri"/>
                <w:color w:val="auto"/>
                <w:lang w:val="en-CA" w:eastAsia="en-CA"/>
              </w:rPr>
            </w:pPr>
            <w:r w:rsidRPr="00BB3D77">
              <w:rPr>
                <w:color w:val="auto"/>
              </w:rPr>
              <w:t>High school</w:t>
            </w:r>
            <w:r w:rsidR="00F85610" w:rsidRPr="00BB3D77">
              <w:rPr>
                <w:color w:val="auto"/>
              </w:rPr>
              <w:t xml:space="preserve"> graduates</w:t>
            </w:r>
          </w:p>
        </w:tc>
        <w:tc>
          <w:tcPr>
            <w:tcW w:w="0" w:type="auto"/>
            <w:tcBorders>
              <w:left w:val="single" w:sz="4" w:space="0" w:color="auto"/>
            </w:tcBorders>
            <w:noWrap/>
          </w:tcPr>
          <w:p w14:paraId="2B4CD0BD" w14:textId="77777777" w:rsidR="00B310DE" w:rsidRPr="00BB3D77" w:rsidRDefault="00B310DE" w:rsidP="00D37A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val="0"/>
                <w:color w:val="auto"/>
                <w:lang w:val="en-CA" w:eastAsia="en-CA"/>
              </w:rPr>
            </w:pPr>
            <w:r w:rsidRPr="00BB3D77">
              <w:rPr>
                <w:color w:val="auto"/>
              </w:rPr>
              <w:t>88%</w:t>
            </w:r>
          </w:p>
        </w:tc>
        <w:tc>
          <w:tcPr>
            <w:tcW w:w="0" w:type="auto"/>
            <w:tcBorders>
              <w:left w:val="single" w:sz="4" w:space="0" w:color="auto"/>
            </w:tcBorders>
          </w:tcPr>
          <w:p w14:paraId="3CF0A246" w14:textId="77777777" w:rsidR="00B310DE" w:rsidRPr="00BB3D77" w:rsidRDefault="00B310DE" w:rsidP="00D37A7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82%</w:t>
            </w:r>
          </w:p>
        </w:tc>
        <w:tc>
          <w:tcPr>
            <w:tcW w:w="0" w:type="auto"/>
            <w:tcBorders>
              <w:left w:val="single" w:sz="4" w:space="0" w:color="auto"/>
            </w:tcBorders>
          </w:tcPr>
          <w:p w14:paraId="768E396F" w14:textId="77777777" w:rsidR="00B310DE" w:rsidRPr="00BB3D77" w:rsidRDefault="00B310DE" w:rsidP="00D37A7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6%</w:t>
            </w:r>
          </w:p>
        </w:tc>
      </w:tr>
      <w:tr w:rsidR="00D7687D" w:rsidRPr="00BB3D77" w14:paraId="279D43D8" w14:textId="77777777" w:rsidTr="00D12A4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tcPr>
          <w:p w14:paraId="754F4334" w14:textId="712D9F81" w:rsidR="00B310DE" w:rsidRPr="00BB3D77" w:rsidRDefault="00B310DE" w:rsidP="00D37A76">
            <w:pPr>
              <w:spacing w:after="0" w:line="240" w:lineRule="auto"/>
              <w:jc w:val="center"/>
              <w:rPr>
                <w:rFonts w:ascii="Calibri" w:eastAsia="Times New Roman" w:hAnsi="Calibri" w:cs="Calibri"/>
                <w:color w:val="auto"/>
                <w:lang w:val="en-CA" w:eastAsia="en-CA"/>
              </w:rPr>
            </w:pPr>
            <w:r w:rsidRPr="00BB3D77">
              <w:rPr>
                <w:color w:val="auto"/>
              </w:rPr>
              <w:t>Post-secondary</w:t>
            </w:r>
            <w:r w:rsidR="00F85610" w:rsidRPr="00BB3D77">
              <w:rPr>
                <w:color w:val="auto"/>
              </w:rPr>
              <w:t xml:space="preserve"> graduates</w:t>
            </w:r>
          </w:p>
        </w:tc>
        <w:tc>
          <w:tcPr>
            <w:tcW w:w="0" w:type="auto"/>
            <w:tcBorders>
              <w:left w:val="single" w:sz="4" w:space="0" w:color="auto"/>
            </w:tcBorders>
            <w:noWrap/>
          </w:tcPr>
          <w:p w14:paraId="7CD21FEB" w14:textId="77777777" w:rsidR="00B310DE" w:rsidRPr="00BB3D77" w:rsidRDefault="00B310DE" w:rsidP="00D37A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val="0"/>
                <w:color w:val="auto"/>
                <w:lang w:val="en-CA" w:eastAsia="en-CA"/>
              </w:rPr>
            </w:pPr>
            <w:r w:rsidRPr="00BB3D77">
              <w:rPr>
                <w:color w:val="auto"/>
              </w:rPr>
              <w:t>74%</w:t>
            </w:r>
          </w:p>
        </w:tc>
        <w:tc>
          <w:tcPr>
            <w:tcW w:w="0" w:type="auto"/>
            <w:tcBorders>
              <w:left w:val="single" w:sz="4" w:space="0" w:color="auto"/>
            </w:tcBorders>
          </w:tcPr>
          <w:p w14:paraId="241F684B" w14:textId="77777777" w:rsidR="00B310DE" w:rsidRPr="00BB3D77" w:rsidRDefault="00B310DE" w:rsidP="00D37A7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42%</w:t>
            </w:r>
          </w:p>
        </w:tc>
        <w:tc>
          <w:tcPr>
            <w:tcW w:w="0" w:type="auto"/>
            <w:tcBorders>
              <w:left w:val="single" w:sz="4" w:space="0" w:color="auto"/>
            </w:tcBorders>
          </w:tcPr>
          <w:p w14:paraId="63F0CAB4" w14:textId="77777777" w:rsidR="00B310DE" w:rsidRPr="00BB3D77" w:rsidRDefault="00B310DE" w:rsidP="00D37A7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0%</w:t>
            </w:r>
          </w:p>
        </w:tc>
      </w:tr>
      <w:tr w:rsidR="00D7687D" w:rsidRPr="00BB3D77" w14:paraId="4BFC8762" w14:textId="77777777" w:rsidTr="00D12A49">
        <w:trPr>
          <w:trHeight w:val="274"/>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tcPr>
          <w:p w14:paraId="574070E3" w14:textId="77777777" w:rsidR="00B310DE" w:rsidRPr="00BB3D77" w:rsidRDefault="00B310DE" w:rsidP="00D37A76">
            <w:pPr>
              <w:spacing w:after="0" w:line="240" w:lineRule="auto"/>
              <w:jc w:val="center"/>
              <w:rPr>
                <w:rFonts w:ascii="Calibri" w:eastAsia="Times New Roman" w:hAnsi="Calibri" w:cs="Calibri"/>
                <w:color w:val="auto"/>
                <w:lang w:val="en-CA" w:eastAsia="en-CA"/>
              </w:rPr>
            </w:pPr>
            <w:r w:rsidRPr="00BB3D77">
              <w:rPr>
                <w:color w:val="auto"/>
              </w:rPr>
              <w:t>Employment rate</w:t>
            </w:r>
          </w:p>
        </w:tc>
        <w:tc>
          <w:tcPr>
            <w:tcW w:w="0" w:type="auto"/>
            <w:tcBorders>
              <w:left w:val="single" w:sz="4" w:space="0" w:color="auto"/>
            </w:tcBorders>
            <w:noWrap/>
          </w:tcPr>
          <w:p w14:paraId="5E378FE0" w14:textId="77777777" w:rsidR="00B310DE" w:rsidRPr="00BB3D77" w:rsidRDefault="00B310DE" w:rsidP="00D37A7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83%</w:t>
            </w:r>
          </w:p>
        </w:tc>
        <w:tc>
          <w:tcPr>
            <w:tcW w:w="0" w:type="auto"/>
            <w:tcBorders>
              <w:left w:val="single" w:sz="4" w:space="0" w:color="auto"/>
            </w:tcBorders>
          </w:tcPr>
          <w:p w14:paraId="1497754B" w14:textId="77777777" w:rsidR="00B310DE" w:rsidRPr="00BB3D77" w:rsidRDefault="00B310DE" w:rsidP="00D37A7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70%</w:t>
            </w:r>
          </w:p>
        </w:tc>
        <w:tc>
          <w:tcPr>
            <w:tcW w:w="0" w:type="auto"/>
            <w:tcBorders>
              <w:left w:val="single" w:sz="4" w:space="0" w:color="auto"/>
            </w:tcBorders>
          </w:tcPr>
          <w:p w14:paraId="117B8DD3" w14:textId="77777777" w:rsidR="00B310DE" w:rsidRPr="00BB3D77" w:rsidRDefault="00B310DE" w:rsidP="00D37A7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63%</w:t>
            </w:r>
          </w:p>
        </w:tc>
      </w:tr>
      <w:tr w:rsidR="00D7687D" w:rsidRPr="00BB3D77" w14:paraId="79C9ED3B" w14:textId="77777777" w:rsidTr="00D12A4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tcPr>
          <w:p w14:paraId="31E28921" w14:textId="77777777" w:rsidR="00B310DE" w:rsidRPr="00BB3D77" w:rsidRDefault="00B310DE" w:rsidP="00D37A76">
            <w:pPr>
              <w:spacing w:after="0" w:line="240" w:lineRule="auto"/>
              <w:jc w:val="center"/>
              <w:rPr>
                <w:rFonts w:ascii="Calibri" w:eastAsia="Times New Roman" w:hAnsi="Calibri" w:cs="Calibri"/>
                <w:color w:val="auto"/>
                <w:lang w:val="en-CA" w:eastAsia="en-CA"/>
              </w:rPr>
            </w:pPr>
            <w:r w:rsidRPr="00BB3D77">
              <w:rPr>
                <w:color w:val="auto"/>
              </w:rPr>
              <w:t>Median income</w:t>
            </w:r>
          </w:p>
        </w:tc>
        <w:tc>
          <w:tcPr>
            <w:tcW w:w="0" w:type="auto"/>
            <w:tcBorders>
              <w:left w:val="single" w:sz="4" w:space="0" w:color="auto"/>
            </w:tcBorders>
            <w:noWrap/>
          </w:tcPr>
          <w:p w14:paraId="5AB37840" w14:textId="77777777" w:rsidR="00B310DE" w:rsidRPr="00BB3D77" w:rsidRDefault="00B310DE" w:rsidP="00D37A7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$41k</w:t>
            </w:r>
          </w:p>
        </w:tc>
        <w:tc>
          <w:tcPr>
            <w:tcW w:w="0" w:type="auto"/>
            <w:tcBorders>
              <w:left w:val="single" w:sz="4" w:space="0" w:color="auto"/>
            </w:tcBorders>
          </w:tcPr>
          <w:p w14:paraId="3219111C" w14:textId="77777777" w:rsidR="00B310DE" w:rsidRPr="00BB3D77" w:rsidRDefault="00B310DE" w:rsidP="00D37A7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$33k</w:t>
            </w:r>
          </w:p>
        </w:tc>
        <w:tc>
          <w:tcPr>
            <w:tcW w:w="0" w:type="auto"/>
            <w:tcBorders>
              <w:left w:val="single" w:sz="4" w:space="0" w:color="auto"/>
            </w:tcBorders>
          </w:tcPr>
          <w:p w14:paraId="06B21B31" w14:textId="77777777" w:rsidR="00B310DE" w:rsidRPr="00BB3D77" w:rsidRDefault="00B310DE" w:rsidP="00D37A7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$24k</w:t>
            </w:r>
          </w:p>
        </w:tc>
      </w:tr>
      <w:tr w:rsidR="00D7687D" w:rsidRPr="00BB3D77" w14:paraId="4D259C44" w14:textId="77777777" w:rsidTr="00D12A49">
        <w:trPr>
          <w:trHeight w:val="274"/>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tcPr>
          <w:p w14:paraId="529EE6BF" w14:textId="77777777" w:rsidR="00B310DE" w:rsidRPr="00BB3D77" w:rsidRDefault="00B310DE" w:rsidP="00D37A76">
            <w:pPr>
              <w:spacing w:after="0" w:line="240" w:lineRule="auto"/>
              <w:jc w:val="center"/>
              <w:rPr>
                <w:rFonts w:ascii="Calibri" w:eastAsia="Times New Roman" w:hAnsi="Calibri" w:cs="Calibri"/>
                <w:color w:val="auto"/>
                <w:lang w:val="en-CA" w:eastAsia="en-CA"/>
              </w:rPr>
            </w:pPr>
            <w:r w:rsidRPr="00BB3D77">
              <w:rPr>
                <w:color w:val="auto"/>
              </w:rPr>
              <w:t>Average income</w:t>
            </w:r>
          </w:p>
        </w:tc>
        <w:tc>
          <w:tcPr>
            <w:tcW w:w="0" w:type="auto"/>
            <w:tcBorders>
              <w:left w:val="single" w:sz="4" w:space="0" w:color="auto"/>
            </w:tcBorders>
            <w:noWrap/>
          </w:tcPr>
          <w:p w14:paraId="35070009" w14:textId="77777777" w:rsidR="00B310DE" w:rsidRPr="00BB3D77" w:rsidRDefault="00B310DE" w:rsidP="00D37A7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$45k</w:t>
            </w:r>
          </w:p>
        </w:tc>
        <w:tc>
          <w:tcPr>
            <w:tcW w:w="0" w:type="auto"/>
            <w:tcBorders>
              <w:left w:val="single" w:sz="4" w:space="0" w:color="auto"/>
            </w:tcBorders>
          </w:tcPr>
          <w:p w14:paraId="68991A28" w14:textId="77777777" w:rsidR="00B310DE" w:rsidRPr="00BB3D77" w:rsidRDefault="00B310DE" w:rsidP="00D37A7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$40k</w:t>
            </w:r>
          </w:p>
        </w:tc>
        <w:tc>
          <w:tcPr>
            <w:tcW w:w="0" w:type="auto"/>
            <w:tcBorders>
              <w:left w:val="single" w:sz="4" w:space="0" w:color="auto"/>
            </w:tcBorders>
          </w:tcPr>
          <w:p w14:paraId="548D55E9" w14:textId="67035612" w:rsidR="00B310DE" w:rsidRPr="00BB3D77" w:rsidRDefault="00B310DE" w:rsidP="00D37A7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$23</w:t>
            </w:r>
            <w:r w:rsidR="00633225" w:rsidRPr="00BB3D77">
              <w:rPr>
                <w:color w:val="auto"/>
              </w:rPr>
              <w:t>k</w:t>
            </w:r>
          </w:p>
        </w:tc>
      </w:tr>
      <w:tr w:rsidR="00D7687D" w:rsidRPr="00BB3D77" w14:paraId="1BE31350" w14:textId="77777777" w:rsidTr="00D12A4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tcPr>
          <w:p w14:paraId="36E8C7A0" w14:textId="77777777" w:rsidR="00B310DE" w:rsidRPr="00BB3D77" w:rsidRDefault="00B310DE" w:rsidP="00D37A76">
            <w:pPr>
              <w:spacing w:after="0" w:line="240" w:lineRule="auto"/>
              <w:jc w:val="center"/>
              <w:rPr>
                <w:rFonts w:ascii="Calibri" w:eastAsia="Times New Roman" w:hAnsi="Calibri" w:cs="Calibri"/>
                <w:color w:val="auto"/>
                <w:lang w:val="en-CA" w:eastAsia="en-CA"/>
              </w:rPr>
            </w:pPr>
            <w:r w:rsidRPr="00BB3D77">
              <w:rPr>
                <w:color w:val="auto"/>
              </w:rPr>
              <w:t>Unsuitable housing</w:t>
            </w:r>
          </w:p>
        </w:tc>
        <w:tc>
          <w:tcPr>
            <w:tcW w:w="0" w:type="auto"/>
            <w:tcBorders>
              <w:left w:val="single" w:sz="4" w:space="0" w:color="auto"/>
            </w:tcBorders>
            <w:noWrap/>
          </w:tcPr>
          <w:p w14:paraId="1B3F26AF" w14:textId="77777777" w:rsidR="00B310DE" w:rsidRPr="00BB3D77" w:rsidRDefault="00B310DE" w:rsidP="00D37A7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2%</w:t>
            </w:r>
          </w:p>
        </w:tc>
        <w:tc>
          <w:tcPr>
            <w:tcW w:w="0" w:type="auto"/>
            <w:tcBorders>
              <w:left w:val="single" w:sz="4" w:space="0" w:color="auto"/>
            </w:tcBorders>
          </w:tcPr>
          <w:p w14:paraId="60BBCE14" w14:textId="77777777" w:rsidR="00B310DE" w:rsidRPr="00BB3D77" w:rsidRDefault="00B310DE" w:rsidP="00D37A7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7%</w:t>
            </w:r>
          </w:p>
        </w:tc>
        <w:tc>
          <w:tcPr>
            <w:tcW w:w="0" w:type="auto"/>
            <w:tcBorders>
              <w:left w:val="single" w:sz="4" w:space="0" w:color="auto"/>
            </w:tcBorders>
          </w:tcPr>
          <w:p w14:paraId="1FDDD28C" w14:textId="77777777" w:rsidR="00B310DE" w:rsidRPr="00BB3D77" w:rsidRDefault="00B310DE" w:rsidP="00D37A7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37%</w:t>
            </w:r>
          </w:p>
        </w:tc>
      </w:tr>
      <w:tr w:rsidR="00D7687D" w:rsidRPr="00BB3D77" w14:paraId="3B6384D5" w14:textId="77777777" w:rsidTr="00D12A49">
        <w:trPr>
          <w:trHeight w:val="274"/>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tcPr>
          <w:p w14:paraId="71689E5B" w14:textId="77777777" w:rsidR="00B310DE" w:rsidRPr="00BB3D77" w:rsidRDefault="00B310DE" w:rsidP="00D37A76">
            <w:pPr>
              <w:spacing w:after="0" w:line="240" w:lineRule="auto"/>
              <w:jc w:val="center"/>
              <w:rPr>
                <w:rFonts w:ascii="Calibri" w:eastAsia="Times New Roman" w:hAnsi="Calibri" w:cs="Calibri"/>
                <w:color w:val="auto"/>
                <w:lang w:val="en-CA" w:eastAsia="en-CA"/>
              </w:rPr>
            </w:pPr>
            <w:r w:rsidRPr="00BB3D77">
              <w:rPr>
                <w:color w:val="auto"/>
              </w:rPr>
              <w:t>Inadequate housing</w:t>
            </w:r>
          </w:p>
        </w:tc>
        <w:tc>
          <w:tcPr>
            <w:tcW w:w="0" w:type="auto"/>
            <w:tcBorders>
              <w:left w:val="single" w:sz="4" w:space="0" w:color="auto"/>
            </w:tcBorders>
            <w:noWrap/>
          </w:tcPr>
          <w:p w14:paraId="558FEF09" w14:textId="77777777" w:rsidR="00B310DE" w:rsidRPr="00BB3D77" w:rsidRDefault="00B310DE" w:rsidP="00D37A7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5%</w:t>
            </w:r>
          </w:p>
        </w:tc>
        <w:tc>
          <w:tcPr>
            <w:tcW w:w="0" w:type="auto"/>
            <w:tcBorders>
              <w:left w:val="single" w:sz="4" w:space="0" w:color="auto"/>
            </w:tcBorders>
          </w:tcPr>
          <w:p w14:paraId="0DD20E5B" w14:textId="77777777" w:rsidR="00B310DE" w:rsidRPr="00BB3D77" w:rsidRDefault="00B310DE" w:rsidP="00D37A7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10%</w:t>
            </w:r>
          </w:p>
        </w:tc>
        <w:tc>
          <w:tcPr>
            <w:tcW w:w="0" w:type="auto"/>
            <w:tcBorders>
              <w:left w:val="single" w:sz="4" w:space="0" w:color="auto"/>
            </w:tcBorders>
          </w:tcPr>
          <w:p w14:paraId="4E7D639E" w14:textId="77777777" w:rsidR="00B310DE" w:rsidRPr="00BB3D77" w:rsidRDefault="00B310DE" w:rsidP="00D37A7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53%</w:t>
            </w:r>
          </w:p>
        </w:tc>
      </w:tr>
      <w:tr w:rsidR="00467762" w:rsidRPr="00BB3D77" w14:paraId="6072FBF8" w14:textId="77777777" w:rsidTr="00D12A4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tcPr>
          <w:p w14:paraId="356BDD2B" w14:textId="5169CF33" w:rsidR="00467762" w:rsidRPr="00BB3D77" w:rsidRDefault="00467762" w:rsidP="00D37A76">
            <w:pPr>
              <w:spacing w:after="0" w:line="240" w:lineRule="auto"/>
              <w:jc w:val="center"/>
            </w:pPr>
            <w:r w:rsidRPr="00BB3D77">
              <w:rPr>
                <w:color w:val="auto"/>
              </w:rPr>
              <w:t>Remoteness Index</w:t>
            </w:r>
          </w:p>
        </w:tc>
        <w:tc>
          <w:tcPr>
            <w:tcW w:w="0" w:type="auto"/>
            <w:tcBorders>
              <w:left w:val="single" w:sz="4" w:space="0" w:color="auto"/>
            </w:tcBorders>
            <w:noWrap/>
          </w:tcPr>
          <w:p w14:paraId="06108088" w14:textId="1737C6EB" w:rsidR="00467762" w:rsidRPr="00BB3D77" w:rsidRDefault="006E0DD8" w:rsidP="00D37A7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0.1</w:t>
            </w:r>
            <w:r w:rsidR="00D7687D" w:rsidRPr="00BB3D77">
              <w:rPr>
                <w:color w:val="auto"/>
              </w:rPr>
              <w:t>4</w:t>
            </w:r>
          </w:p>
        </w:tc>
        <w:tc>
          <w:tcPr>
            <w:tcW w:w="0" w:type="auto"/>
            <w:tcBorders>
              <w:left w:val="single" w:sz="4" w:space="0" w:color="auto"/>
            </w:tcBorders>
          </w:tcPr>
          <w:p w14:paraId="421FA6F1" w14:textId="66A5CE2C" w:rsidR="00467762" w:rsidRPr="00BB3D77" w:rsidRDefault="005336D2" w:rsidP="00D37A7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0.27</w:t>
            </w:r>
          </w:p>
        </w:tc>
        <w:tc>
          <w:tcPr>
            <w:tcW w:w="0" w:type="auto"/>
            <w:tcBorders>
              <w:left w:val="single" w:sz="4" w:space="0" w:color="auto"/>
            </w:tcBorders>
          </w:tcPr>
          <w:p w14:paraId="5354349B" w14:textId="446C48F1" w:rsidR="00467762" w:rsidRPr="00BB3D77" w:rsidRDefault="008C5F1D" w:rsidP="00D37A7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0.61</w:t>
            </w:r>
          </w:p>
        </w:tc>
      </w:tr>
      <w:tr w:rsidR="00467762" w:rsidRPr="00BB3D77" w14:paraId="645120A8" w14:textId="77777777" w:rsidTr="00D12A49">
        <w:trPr>
          <w:trHeight w:val="274"/>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tcPr>
          <w:p w14:paraId="16B8EFBD" w14:textId="3E472000" w:rsidR="00467762" w:rsidRPr="00BB3D77" w:rsidRDefault="00467762" w:rsidP="00D37A76">
            <w:pPr>
              <w:spacing w:after="0" w:line="240" w:lineRule="auto"/>
              <w:jc w:val="center"/>
            </w:pPr>
            <w:r w:rsidRPr="00BB3D77">
              <w:rPr>
                <w:rFonts w:ascii="Calibri" w:eastAsia="Times New Roman" w:hAnsi="Calibri" w:cs="Calibri"/>
                <w:color w:val="000000"/>
                <w:lang w:val="en-CA" w:eastAsia="en-CA"/>
              </w:rPr>
              <w:t>NAICS 522</w:t>
            </w:r>
          </w:p>
        </w:tc>
        <w:tc>
          <w:tcPr>
            <w:tcW w:w="0" w:type="auto"/>
            <w:tcBorders>
              <w:left w:val="single" w:sz="4" w:space="0" w:color="auto"/>
            </w:tcBorders>
            <w:noWrap/>
          </w:tcPr>
          <w:p w14:paraId="4FD1D2FE" w14:textId="6C6E93AD" w:rsidR="00467762" w:rsidRPr="00BB3D77" w:rsidRDefault="00083A62" w:rsidP="00D37A7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0.86</w:t>
            </w:r>
          </w:p>
        </w:tc>
        <w:tc>
          <w:tcPr>
            <w:tcW w:w="0" w:type="auto"/>
            <w:tcBorders>
              <w:left w:val="single" w:sz="4" w:space="0" w:color="auto"/>
            </w:tcBorders>
          </w:tcPr>
          <w:p w14:paraId="3F982FFE" w14:textId="63E655E1" w:rsidR="00467762" w:rsidRPr="00BB3D77" w:rsidRDefault="005336D2" w:rsidP="00D37A7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0.76</w:t>
            </w:r>
          </w:p>
        </w:tc>
        <w:tc>
          <w:tcPr>
            <w:tcW w:w="0" w:type="auto"/>
            <w:tcBorders>
              <w:left w:val="single" w:sz="4" w:space="0" w:color="auto"/>
            </w:tcBorders>
          </w:tcPr>
          <w:p w14:paraId="4C75F552" w14:textId="014CB864" w:rsidR="00467762" w:rsidRPr="00BB3D77" w:rsidRDefault="003C21C4" w:rsidP="00D37A7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0.65</w:t>
            </w:r>
          </w:p>
        </w:tc>
      </w:tr>
    </w:tbl>
    <w:p w14:paraId="62AB87DD" w14:textId="37F130AA" w:rsidR="00B310DE" w:rsidRPr="00BB3D77" w:rsidRDefault="00B310DE" w:rsidP="00665A78">
      <w:pPr>
        <w:pStyle w:val="Body"/>
      </w:pPr>
      <w:r w:rsidRPr="00BB3D77">
        <w:rPr>
          <w:rStyle w:val="ChartSourceChar"/>
        </w:rPr>
        <w:t xml:space="preserve">Source: NACCA, </w:t>
      </w:r>
      <w:r w:rsidR="00EF0DBE" w:rsidRPr="00BB3D77">
        <w:rPr>
          <w:rStyle w:val="ChartSourceChar"/>
        </w:rPr>
        <w:t xml:space="preserve">Statistics Canada, </w:t>
      </w:r>
      <w:r w:rsidRPr="00BB3D77">
        <w:rPr>
          <w:rStyle w:val="ChartSourceChar"/>
        </w:rPr>
        <w:t>The Conference Board of Canada</w:t>
      </w:r>
    </w:p>
    <w:p w14:paraId="233DB19A" w14:textId="55D5BA75" w:rsidR="009E187F" w:rsidRPr="00BB3D77" w:rsidRDefault="00665A78" w:rsidP="00665A78">
      <w:pPr>
        <w:pStyle w:val="Body"/>
      </w:pPr>
      <w:r w:rsidRPr="00BB3D77">
        <w:t>Comparing Wendake to White</w:t>
      </w:r>
      <w:r w:rsidR="00467762" w:rsidRPr="00BB3D77">
        <w:t>c</w:t>
      </w:r>
      <w:r w:rsidRPr="00BB3D77">
        <w:t xml:space="preserve">ap </w:t>
      </w:r>
      <w:r w:rsidR="00467762" w:rsidRPr="00BB3D77">
        <w:t xml:space="preserve">Dakota </w:t>
      </w:r>
      <w:r w:rsidRPr="00BB3D77">
        <w:t xml:space="preserve">we see that </w:t>
      </w:r>
      <w:r w:rsidR="00F85610" w:rsidRPr="00BB3D77">
        <w:t xml:space="preserve">average </w:t>
      </w:r>
      <w:r w:rsidRPr="00BB3D77">
        <w:t xml:space="preserve">incomes and housing conditions are similar. </w:t>
      </w:r>
      <w:r w:rsidR="009E187F" w:rsidRPr="00BB3D77">
        <w:t>Both communities get profiled quite a bit for the economic successes they have achieved, and their CWB scores reflect that. However, a</w:t>
      </w:r>
      <w:r w:rsidR="00F85610" w:rsidRPr="00BB3D77">
        <w:t xml:space="preserve"> key </w:t>
      </w:r>
      <w:r w:rsidRPr="00BB3D77">
        <w:t xml:space="preserve">difference </w:t>
      </w:r>
      <w:r w:rsidR="00F85610" w:rsidRPr="00BB3D77">
        <w:t>between these two communities is</w:t>
      </w:r>
      <w:r w:rsidRPr="00BB3D77">
        <w:t xml:space="preserve"> </w:t>
      </w:r>
      <w:r w:rsidR="00F85610" w:rsidRPr="00BB3D77">
        <w:t>in</w:t>
      </w:r>
      <w:r w:rsidRPr="00BB3D77">
        <w:t xml:space="preserve"> the</w:t>
      </w:r>
      <w:r w:rsidR="00F85610" w:rsidRPr="00BB3D77">
        <w:t>ir</w:t>
      </w:r>
      <w:r w:rsidRPr="00BB3D77">
        <w:t xml:space="preserve"> </w:t>
      </w:r>
      <w:r w:rsidR="00F85610" w:rsidRPr="00BB3D77">
        <w:t>proportions</w:t>
      </w:r>
      <w:r w:rsidRPr="00BB3D77">
        <w:t xml:space="preserve"> of post</w:t>
      </w:r>
      <w:r w:rsidR="00FD57F2" w:rsidRPr="00BB3D77">
        <w:t>-</w:t>
      </w:r>
      <w:r w:rsidRPr="00BB3D77">
        <w:t xml:space="preserve">secondary graduates. </w:t>
      </w:r>
    </w:p>
    <w:p w14:paraId="1A626F04" w14:textId="7E0BC86A" w:rsidR="0027499B" w:rsidRPr="00BB3D77" w:rsidRDefault="00665A78" w:rsidP="00665A78">
      <w:pPr>
        <w:pStyle w:val="Body"/>
      </w:pPr>
      <w:r w:rsidRPr="00BB3D77">
        <w:t xml:space="preserve">Now if we compare Wendake to the small remote First Nation </w:t>
      </w:r>
      <w:r w:rsidR="009E187F" w:rsidRPr="00BB3D77">
        <w:t xml:space="preserve">featured in </w:t>
      </w:r>
      <w:r w:rsidR="009E187F" w:rsidRPr="00BB3D77">
        <w:fldChar w:fldCharType="begin"/>
      </w:r>
      <w:r w:rsidR="009E187F" w:rsidRPr="00BB3D77">
        <w:instrText xml:space="preserve"> REF _Ref114739983 \h </w:instrText>
      </w:r>
      <w:r w:rsidR="00270905" w:rsidRPr="00BB3D77">
        <w:instrText xml:space="preserve"> \* MERGEFORMAT </w:instrText>
      </w:r>
      <w:r w:rsidR="009E187F" w:rsidRPr="00BB3D77">
        <w:fldChar w:fldCharType="separate"/>
      </w:r>
      <w:r w:rsidR="00220F3D" w:rsidRPr="00BB3D77">
        <w:t xml:space="preserve">Table </w:t>
      </w:r>
      <w:r w:rsidR="00220F3D">
        <w:rPr>
          <w:noProof/>
        </w:rPr>
        <w:t>1</w:t>
      </w:r>
      <w:r w:rsidR="009E187F" w:rsidRPr="00BB3D77">
        <w:fldChar w:fldCharType="end"/>
      </w:r>
      <w:r w:rsidR="00B40280" w:rsidRPr="00BB3D77">
        <w:t xml:space="preserve"> </w:t>
      </w:r>
      <w:r w:rsidRPr="00BB3D77">
        <w:t xml:space="preserve">we see </w:t>
      </w:r>
      <w:r w:rsidR="00B40280" w:rsidRPr="00BB3D77">
        <w:t xml:space="preserve">several </w:t>
      </w:r>
      <w:r w:rsidR="003A1414" w:rsidRPr="00BB3D77">
        <w:t>extreme</w:t>
      </w:r>
      <w:r w:rsidRPr="00BB3D77">
        <w:t xml:space="preserve"> differences. The 40</w:t>
      </w:r>
      <w:r w:rsidR="00CD11B9" w:rsidRPr="00BB3D77">
        <w:t>-</w:t>
      </w:r>
      <w:r w:rsidRPr="00BB3D77">
        <w:t xml:space="preserve">point gap </w:t>
      </w:r>
      <w:r w:rsidR="003A1414" w:rsidRPr="00BB3D77">
        <w:t xml:space="preserve">in CWB scores </w:t>
      </w:r>
      <w:r w:rsidRPr="00BB3D77">
        <w:t>between the</w:t>
      </w:r>
      <w:r w:rsidR="003A1414" w:rsidRPr="00BB3D77">
        <w:t xml:space="preserve"> two</w:t>
      </w:r>
      <w:r w:rsidRPr="00BB3D77">
        <w:t xml:space="preserve"> communities is most </w:t>
      </w:r>
      <w:r w:rsidR="003A1414" w:rsidRPr="00BB3D77">
        <w:t>prominent</w:t>
      </w:r>
      <w:r w:rsidRPr="00BB3D77">
        <w:t xml:space="preserve"> around levels of education and housing quality. The small community barely has any high school graduates and over 5</w:t>
      </w:r>
      <w:r w:rsidR="00CD11B9" w:rsidRPr="00BB3D77">
        <w:t>0 per cent</w:t>
      </w:r>
      <w:r w:rsidRPr="00BB3D77">
        <w:t xml:space="preserve"> of its homes need major repairs</w:t>
      </w:r>
      <w:r w:rsidR="005506F8" w:rsidRPr="00BB3D77">
        <w:t xml:space="preserve"> (inadequate housing)</w:t>
      </w:r>
      <w:r w:rsidRPr="00BB3D77">
        <w:t xml:space="preserve">.  </w:t>
      </w:r>
      <w:r w:rsidR="00C20EE3" w:rsidRPr="00BB3D77">
        <w:t xml:space="preserve">The </w:t>
      </w:r>
      <w:r w:rsidRPr="00BB3D77">
        <w:t xml:space="preserve">average income </w:t>
      </w:r>
      <w:r w:rsidR="00C20EE3" w:rsidRPr="00BB3D77">
        <w:t>in</w:t>
      </w:r>
      <w:r w:rsidRPr="00BB3D77">
        <w:t xml:space="preserve"> the small remote community is almost half that of Wendake’s.</w:t>
      </w:r>
      <w:r w:rsidR="00FC27B3" w:rsidRPr="00BB3D77">
        <w:t xml:space="preserve"> Turning to the Remoteness Index and NAICS 522 we also see that Wendake is </w:t>
      </w:r>
      <w:r w:rsidR="00673D8C" w:rsidRPr="00BB3D77">
        <w:t xml:space="preserve">significantly less </w:t>
      </w:r>
      <w:r w:rsidR="00223B0D" w:rsidRPr="00BB3D77">
        <w:t xml:space="preserve">rural or </w:t>
      </w:r>
      <w:r w:rsidR="00673D8C" w:rsidRPr="00BB3D77">
        <w:t xml:space="preserve">remote than the small remote community and </w:t>
      </w:r>
      <w:r w:rsidR="00257CA5" w:rsidRPr="00BB3D77">
        <w:t>closer to banks and other relevant credit intermediation services (under NAICS 522).</w:t>
      </w:r>
    </w:p>
    <w:p w14:paraId="2D25E68E" w14:textId="5CF06A0B" w:rsidR="004C4E83" w:rsidRPr="00BB3D77" w:rsidRDefault="001F6DB7" w:rsidP="00665A78">
      <w:pPr>
        <w:pStyle w:val="Body"/>
      </w:pPr>
      <w:r w:rsidRPr="00BB3D77">
        <w:t xml:space="preserve">From these examples we see that </w:t>
      </w:r>
      <w:r w:rsidR="00343B2C" w:rsidRPr="00BB3D77">
        <w:t xml:space="preserve">the </w:t>
      </w:r>
      <w:r w:rsidR="0027499B" w:rsidRPr="00BB3D77">
        <w:t xml:space="preserve">CWB </w:t>
      </w:r>
      <w:r w:rsidR="00343B2C" w:rsidRPr="00BB3D77">
        <w:t>index</w:t>
      </w:r>
      <w:r w:rsidRPr="00BB3D77">
        <w:t xml:space="preserve"> can</w:t>
      </w:r>
      <w:r w:rsidR="0060400B" w:rsidRPr="00BB3D77">
        <w:t xml:space="preserve"> convey </w:t>
      </w:r>
      <w:r w:rsidR="00665A78" w:rsidRPr="00BB3D77">
        <w:t xml:space="preserve">vastly different </w:t>
      </w:r>
      <w:r w:rsidR="00DD1079" w:rsidRPr="00BB3D77">
        <w:t xml:space="preserve">socio-economic </w:t>
      </w:r>
      <w:r w:rsidR="00665A78" w:rsidRPr="00BB3D77">
        <w:t>realities</w:t>
      </w:r>
      <w:r w:rsidR="0027499B" w:rsidRPr="00BB3D77">
        <w:t xml:space="preserve">. </w:t>
      </w:r>
      <w:r w:rsidR="00DD1079" w:rsidRPr="00BB3D77">
        <w:t xml:space="preserve">This </w:t>
      </w:r>
      <w:r w:rsidR="00704AF0" w:rsidRPr="00BB3D77">
        <w:t xml:space="preserve">also </w:t>
      </w:r>
      <w:r w:rsidR="00665A78" w:rsidRPr="00BB3D77">
        <w:t>reflect</w:t>
      </w:r>
      <w:r w:rsidR="00DD1079" w:rsidRPr="00BB3D77">
        <w:t>s</w:t>
      </w:r>
      <w:r w:rsidR="00665A78" w:rsidRPr="00BB3D77">
        <w:t xml:space="preserve"> the </w:t>
      </w:r>
      <w:r w:rsidR="00DD1079" w:rsidRPr="00BB3D77">
        <w:t xml:space="preserve">considerable </w:t>
      </w:r>
      <w:r w:rsidR="00665A78" w:rsidRPr="00BB3D77">
        <w:t xml:space="preserve">diversity of client communities </w:t>
      </w:r>
      <w:r w:rsidR="001A7B2C">
        <w:t>in the ABFP and ADLA datasets</w:t>
      </w:r>
      <w:r w:rsidR="00665A78" w:rsidRPr="00BB3D77">
        <w:t xml:space="preserve">. Using the CWB index </w:t>
      </w:r>
      <w:r w:rsidR="0060400B" w:rsidRPr="00BB3D77">
        <w:t xml:space="preserve">and associated </w:t>
      </w:r>
      <w:r w:rsidR="00642282" w:rsidRPr="00BB3D77">
        <w:t xml:space="preserve">geospatial </w:t>
      </w:r>
      <w:r w:rsidR="0060400B" w:rsidRPr="00BB3D77">
        <w:t xml:space="preserve">measures </w:t>
      </w:r>
      <w:r w:rsidR="00D70E99" w:rsidRPr="00BB3D77">
        <w:t xml:space="preserve">from Statistics Canada </w:t>
      </w:r>
      <w:r w:rsidR="00665A78" w:rsidRPr="00BB3D77">
        <w:t xml:space="preserve">can help </w:t>
      </w:r>
      <w:r w:rsidR="006E748D">
        <w:t>IFI</w:t>
      </w:r>
      <w:r w:rsidR="007C2374" w:rsidRPr="00BB3D77">
        <w:t>s</w:t>
      </w:r>
      <w:r w:rsidR="00665A78" w:rsidRPr="00BB3D77">
        <w:t xml:space="preserve"> and their partners </w:t>
      </w:r>
      <w:r w:rsidR="00E7105E" w:rsidRPr="00BB3D77">
        <w:t>account for</w:t>
      </w:r>
      <w:r w:rsidR="00665A78" w:rsidRPr="00BB3D77">
        <w:t xml:space="preserve"> these </w:t>
      </w:r>
      <w:r w:rsidR="00463992" w:rsidRPr="00BB3D77">
        <w:t>realities</w:t>
      </w:r>
      <w:r w:rsidR="00665A78" w:rsidRPr="00BB3D77">
        <w:t xml:space="preserve"> and </w:t>
      </w:r>
      <w:r w:rsidR="00E7105E" w:rsidRPr="00BB3D77">
        <w:t>keep track of</w:t>
      </w:r>
      <w:r w:rsidR="00665A78" w:rsidRPr="00BB3D77">
        <w:t xml:space="preserve"> </w:t>
      </w:r>
      <w:r w:rsidR="00270905" w:rsidRPr="00BB3D77">
        <w:t xml:space="preserve">relative </w:t>
      </w:r>
      <w:r w:rsidR="00665A78" w:rsidRPr="00BB3D77">
        <w:t>gaps in development</w:t>
      </w:r>
      <w:r w:rsidR="005B19DA" w:rsidRPr="00BB3D77">
        <w:t xml:space="preserve"> over time</w:t>
      </w:r>
      <w:r w:rsidR="00665A78" w:rsidRPr="00BB3D77">
        <w:t>.</w:t>
      </w:r>
    </w:p>
    <w:p w14:paraId="51B671C7" w14:textId="50D4E2D4" w:rsidR="008B035C" w:rsidRPr="00BB3D77" w:rsidRDefault="008B035C" w:rsidP="00C13735">
      <w:pPr>
        <w:pStyle w:val="Heading3"/>
      </w:pPr>
      <w:bookmarkStart w:id="34" w:name="_Toc136865089"/>
      <w:r w:rsidRPr="00BB3D77">
        <w:t xml:space="preserve">How CWB </w:t>
      </w:r>
      <w:r w:rsidR="00080E07">
        <w:t>s</w:t>
      </w:r>
      <w:r w:rsidRPr="00BB3D77">
        <w:t xml:space="preserve">cores have </w:t>
      </w:r>
      <w:r w:rsidR="00080E07">
        <w:t>c</w:t>
      </w:r>
      <w:r w:rsidRPr="00BB3D77">
        <w:t xml:space="preserve">hanged over </w:t>
      </w:r>
      <w:r w:rsidR="00080E07">
        <w:t>t</w:t>
      </w:r>
      <w:r w:rsidRPr="00BB3D77">
        <w:t>ime</w:t>
      </w:r>
      <w:bookmarkEnd w:id="34"/>
    </w:p>
    <w:p w14:paraId="78785701" w14:textId="5945A073" w:rsidR="008B035C" w:rsidRPr="00BB3D77" w:rsidRDefault="008B035C" w:rsidP="008B035C">
      <w:pPr>
        <w:pStyle w:val="Body"/>
      </w:pPr>
      <w:r w:rsidRPr="00BB3D77">
        <w:t xml:space="preserve">In its most recent analysis of CWB scores based on the 2016 Census, </w:t>
      </w:r>
      <w:r w:rsidR="00047C91" w:rsidRPr="00BB3D77">
        <w:t>ISC</w:t>
      </w:r>
      <w:r w:rsidRPr="00BB3D77">
        <w:t xml:space="preserve"> found that First Nations showed the greatest variation in scores, with 95 per cent “falling within a 39-point range”. In contrast, 95 per cent of Inuit and non-Indigenous communities fell “within a smaller </w:t>
      </w:r>
      <w:r w:rsidRPr="00BB3D77">
        <w:lastRenderedPageBreak/>
        <w:t>range of 30 points and 20 points, respectively”.</w:t>
      </w:r>
      <w:r w:rsidRPr="00BB3D77">
        <w:rPr>
          <w:rStyle w:val="FootnoteReference"/>
        </w:rPr>
        <w:footnoteReference w:id="17"/>
      </w:r>
      <w:r w:rsidR="00F977A5" w:rsidRPr="00BB3D77">
        <w:t xml:space="preserve"> </w:t>
      </w:r>
      <w:r w:rsidRPr="00BB3D77">
        <w:t>Yet, the analysis further showed that, although 98 of the 100 lowest-scoring communities in 2016 were First Nations, “22 First Nation communities scored at or above the 2016 average CWB score for non-Indigenous communities (77.5 points)” and two First Nations appeared on the CWB</w:t>
      </w:r>
      <w:r w:rsidR="004F6AB8" w:rsidRPr="00BB3D77">
        <w:t xml:space="preserve"> index</w:t>
      </w:r>
      <w:r w:rsidRPr="00BB3D77">
        <w:t>'s 100 top-scoring communities.</w:t>
      </w:r>
      <w:r w:rsidRPr="00BB3D77">
        <w:rPr>
          <w:rStyle w:val="FootnoteReference"/>
        </w:rPr>
        <w:footnoteReference w:id="18"/>
      </w:r>
    </w:p>
    <w:p w14:paraId="3BAEA7CA" w14:textId="390BE79E" w:rsidR="008B035C" w:rsidRPr="00BB3D77" w:rsidRDefault="008B035C" w:rsidP="008B035C">
      <w:pPr>
        <w:pStyle w:val="Body"/>
      </w:pPr>
      <w:r w:rsidRPr="00BB3D77">
        <w:t>The department’s longitudinal analysis of CWB scores further suggests that “an increasing number of both First Nation and Inuit communities have experienced a dramatic shift in their overall CWB scores”.</w:t>
      </w:r>
      <w:r w:rsidRPr="00BB3D77">
        <w:rPr>
          <w:rStyle w:val="FootnoteReference"/>
        </w:rPr>
        <w:footnoteReference w:id="19"/>
      </w:r>
      <w:r w:rsidRPr="00BB3D77">
        <w:t xml:space="preserve"> According to th</w:t>
      </w:r>
      <w:r w:rsidR="00FD6205" w:rsidRPr="00BB3D77">
        <w:t>is</w:t>
      </w:r>
      <w:r w:rsidRPr="00BB3D77">
        <w:t xml:space="preserve"> research, which examined how CWB scores evolved from 1981 to 2016, the proportion of First Nations with low (less than 50) CWB scores shrunk from 70 per cent to 22 per cent. In a similar but more pronounced way, the proportion of Inuit communities with low CWB scores shrunk from 80 per cent to just 2 per cent in 2016.</w:t>
      </w:r>
      <w:r w:rsidRPr="00BB3D77">
        <w:rPr>
          <w:rStyle w:val="FootnoteReference"/>
        </w:rPr>
        <w:footnoteReference w:id="20"/>
      </w:r>
      <w:r w:rsidR="001523CF" w:rsidRPr="00BB3D77">
        <w:t xml:space="preserve"> The </w:t>
      </w:r>
      <w:r w:rsidR="005059D5" w:rsidRPr="00BB3D77">
        <w:t>implication</w:t>
      </w:r>
      <w:r w:rsidR="001523CF" w:rsidRPr="00BB3D77">
        <w:t xml:space="preserve"> is that major improvements to community wellbeing occurred among these communities over the </w:t>
      </w:r>
      <w:r w:rsidR="00AF1CD2" w:rsidRPr="00BB3D77">
        <w:t>35-year period.</w:t>
      </w:r>
    </w:p>
    <w:p w14:paraId="4C1EECA6" w14:textId="22EBA4F1" w:rsidR="00EF0DBE" w:rsidRPr="00BB3D77" w:rsidRDefault="00E73D1D" w:rsidP="00F977A5">
      <w:pPr>
        <w:pStyle w:val="Body"/>
      </w:pPr>
      <w:r w:rsidRPr="00BB3D77">
        <w:t>Table 2 below</w:t>
      </w:r>
      <w:r w:rsidR="00EF0DBE" w:rsidRPr="00BB3D77">
        <w:t xml:space="preserve"> shows</w:t>
      </w:r>
      <w:r w:rsidRPr="00BB3D77">
        <w:t xml:space="preserve"> </w:t>
      </w:r>
      <w:r w:rsidR="00EF0DBE" w:rsidRPr="00BB3D77">
        <w:t xml:space="preserve">that </w:t>
      </w:r>
      <w:r w:rsidRPr="00BB3D77">
        <w:t xml:space="preserve">the average </w:t>
      </w:r>
      <w:r w:rsidR="006E748D">
        <w:t>IFI</w:t>
      </w:r>
      <w:r w:rsidRPr="00BB3D77">
        <w:t xml:space="preserve"> client </w:t>
      </w:r>
      <w:r w:rsidR="00EF0DBE" w:rsidRPr="00BB3D77">
        <w:t>community</w:t>
      </w:r>
      <w:r w:rsidR="008A29F1">
        <w:t xml:space="preserve"> </w:t>
      </w:r>
      <w:r w:rsidRPr="00BB3D77">
        <w:t>n the NACCA dataset</w:t>
      </w:r>
      <w:r w:rsidR="008A29F1">
        <w:t>, including Inuit,</w:t>
      </w:r>
      <w:r w:rsidRPr="00BB3D77">
        <w:t xml:space="preserve"> ends up </w:t>
      </w:r>
      <w:r w:rsidR="00EF0DBE" w:rsidRPr="00BB3D77">
        <w:t xml:space="preserve">slightly </w:t>
      </w:r>
      <w:r w:rsidRPr="00BB3D77">
        <w:t xml:space="preserve">above the average 2016 CWB score for First Nations (at 59 versus 58.4). </w:t>
      </w:r>
      <w:r w:rsidR="008F39EA" w:rsidRPr="00BB3D77">
        <w:t>Our</w:t>
      </w:r>
      <w:r w:rsidR="008B035C" w:rsidRPr="00BB3D77">
        <w:t xml:space="preserve"> analysis </w:t>
      </w:r>
      <w:r w:rsidR="001E7B27" w:rsidRPr="00BB3D77">
        <w:t xml:space="preserve">indicates that </w:t>
      </w:r>
      <w:r w:rsidR="00E712D6" w:rsidRPr="00BB3D77">
        <w:t xml:space="preserve">CWB scores increased for </w:t>
      </w:r>
      <w:r w:rsidR="00734841" w:rsidRPr="00BB3D77">
        <w:t>87</w:t>
      </w:r>
      <w:r w:rsidR="008B035C" w:rsidRPr="00BB3D77">
        <w:t xml:space="preserve"> per cent of the total population </w:t>
      </w:r>
      <w:r w:rsidR="00E712D6" w:rsidRPr="00BB3D77">
        <w:t>across</w:t>
      </w:r>
      <w:r w:rsidR="00AB6BA0" w:rsidRPr="00BB3D77">
        <w:t xml:space="preserve"> </w:t>
      </w:r>
      <w:r w:rsidR="004F45E4" w:rsidRPr="00BB3D77">
        <w:t xml:space="preserve">relevant </w:t>
      </w:r>
      <w:r w:rsidR="00AB6BA0" w:rsidRPr="00BB3D77">
        <w:t xml:space="preserve">First Nation and Inuit communities </w:t>
      </w:r>
      <w:r w:rsidR="00734841" w:rsidRPr="00BB3D77">
        <w:t>between 1996 and 2016</w:t>
      </w:r>
      <w:r w:rsidR="008B035C" w:rsidRPr="00BB3D77">
        <w:t xml:space="preserve">. </w:t>
      </w:r>
      <w:r w:rsidR="00734841" w:rsidRPr="00BB3D77">
        <w:t>50 per cent exhibited increases greater than 5 points</w:t>
      </w:r>
      <w:r w:rsidR="00E712D6" w:rsidRPr="00BB3D77">
        <w:t>, and 11 per cent exhibited increases greater than 10 points</w:t>
      </w:r>
      <w:r w:rsidR="00734841" w:rsidRPr="00BB3D77">
        <w:t xml:space="preserve">. </w:t>
      </w:r>
    </w:p>
    <w:p w14:paraId="00B39DCD" w14:textId="6CB39935" w:rsidR="00A557E2" w:rsidRPr="00BB3D77" w:rsidRDefault="001E7B27" w:rsidP="00F977A5">
      <w:pPr>
        <w:pStyle w:val="Body"/>
      </w:pPr>
      <w:r w:rsidRPr="00BB3D77">
        <w:t>Based on ISC’s research much of this growth is tied to rising post-secondary graduation rates and incomes.</w:t>
      </w:r>
      <w:r w:rsidR="00EF0DBE" w:rsidRPr="00BB3D77">
        <w:rPr>
          <w:rStyle w:val="FootnoteReference"/>
        </w:rPr>
        <w:footnoteReference w:id="21"/>
      </w:r>
      <w:r w:rsidRPr="00BB3D77">
        <w:t xml:space="preserve"> </w:t>
      </w:r>
      <w:r w:rsidR="00E712D6" w:rsidRPr="00BB3D77">
        <w:t>But w</w:t>
      </w:r>
      <w:r w:rsidR="008B035C" w:rsidRPr="00BB3D77">
        <w:t xml:space="preserve">e also </w:t>
      </w:r>
      <w:r w:rsidRPr="00BB3D77">
        <w:t xml:space="preserve">find </w:t>
      </w:r>
      <w:r w:rsidR="008B035C" w:rsidRPr="00BB3D77">
        <w:t xml:space="preserve">that </w:t>
      </w:r>
      <w:r w:rsidR="00E712D6" w:rsidRPr="00BB3D77">
        <w:t>communities which</w:t>
      </w:r>
      <w:r w:rsidR="00734841" w:rsidRPr="00BB3D77">
        <w:t xml:space="preserve"> exhibited</w:t>
      </w:r>
      <w:r w:rsidR="008B035C" w:rsidRPr="00BB3D77">
        <w:t xml:space="preserve"> </w:t>
      </w:r>
      <w:r w:rsidR="00E712D6" w:rsidRPr="00BB3D77">
        <w:t xml:space="preserve">the highest </w:t>
      </w:r>
      <w:r w:rsidR="008B035C" w:rsidRPr="00BB3D77">
        <w:t xml:space="preserve">point growth </w:t>
      </w:r>
      <w:r w:rsidR="00E712D6" w:rsidRPr="00BB3D77">
        <w:t>over the 20 years</w:t>
      </w:r>
      <w:r w:rsidR="008B035C" w:rsidRPr="00BB3D77">
        <w:t xml:space="preserve"> were also on average the least remote and closest to </w:t>
      </w:r>
      <w:r w:rsidRPr="00BB3D77">
        <w:t xml:space="preserve">financial and lending </w:t>
      </w:r>
      <w:r w:rsidR="008B035C" w:rsidRPr="00BB3D77">
        <w:t>services</w:t>
      </w:r>
      <w:r w:rsidR="00A557E2" w:rsidRPr="00BB3D77">
        <w:t xml:space="preserve"> (NAICS 522)</w:t>
      </w:r>
      <w:r w:rsidR="008B035C" w:rsidRPr="00BB3D77">
        <w:t>.</w:t>
      </w:r>
      <w:r w:rsidR="00A1546D" w:rsidRPr="00BB3D77">
        <w:t xml:space="preserve">  For th</w:t>
      </w:r>
      <w:r w:rsidR="00E73D1D" w:rsidRPr="00BB3D77">
        <w:t>ese</w:t>
      </w:r>
      <w:r w:rsidR="00A1546D" w:rsidRPr="00BB3D77">
        <w:t xml:space="preserve"> communities,</w:t>
      </w:r>
      <w:r w:rsidR="007638CA" w:rsidRPr="00BB3D77">
        <w:t xml:space="preserve"> such as Wendake</w:t>
      </w:r>
      <w:r w:rsidR="00E73D1D" w:rsidRPr="00BB3D77">
        <w:t xml:space="preserve"> </w:t>
      </w:r>
      <w:r w:rsidR="007638CA" w:rsidRPr="00BB3D77">
        <w:t xml:space="preserve">and Whitecap Dakota </w:t>
      </w:r>
      <w:r w:rsidR="00E73D1D" w:rsidRPr="00BB3D77">
        <w:t>(represented in Table 2 by 16-to-24-point gains),</w:t>
      </w:r>
      <w:r w:rsidR="00A1546D" w:rsidRPr="00BB3D77">
        <w:t xml:space="preserve"> improvements to local capacity are complemented by </w:t>
      </w:r>
      <w:r w:rsidR="001F3C82" w:rsidRPr="00BB3D77">
        <w:t>relatively better access</w:t>
      </w:r>
      <w:r w:rsidR="00A1546D" w:rsidRPr="00BB3D77">
        <w:t xml:space="preserve"> to markets and services. </w:t>
      </w:r>
    </w:p>
    <w:p w14:paraId="3EC5A850" w14:textId="529BE27E" w:rsidR="00A557E2" w:rsidRPr="00BB3D77" w:rsidRDefault="00A557E2" w:rsidP="00F977A5">
      <w:pPr>
        <w:pStyle w:val="Caption"/>
        <w:keepNext/>
        <w:spacing w:before="240"/>
      </w:pPr>
      <w:r w:rsidRPr="00BB3D77">
        <w:lastRenderedPageBreak/>
        <w:t xml:space="preserve">Table </w:t>
      </w:r>
      <w:r w:rsidR="00F4140C">
        <w:fldChar w:fldCharType="begin"/>
      </w:r>
      <w:r w:rsidR="00F4140C">
        <w:instrText xml:space="preserve"> SEQ Table \* ARABIC </w:instrText>
      </w:r>
      <w:r w:rsidR="00F4140C">
        <w:fldChar w:fldCharType="separate"/>
      </w:r>
      <w:r w:rsidR="00220F3D">
        <w:rPr>
          <w:noProof/>
        </w:rPr>
        <w:t>2</w:t>
      </w:r>
      <w:r w:rsidR="00F4140C">
        <w:rPr>
          <w:noProof/>
        </w:rPr>
        <w:fldChar w:fldCharType="end"/>
      </w:r>
      <w:r w:rsidRPr="00BB3D77">
        <w:t xml:space="preserve">: </w:t>
      </w:r>
      <w:r w:rsidR="00C113EB" w:rsidRPr="00BB3D77">
        <w:t xml:space="preserve">Summary of CWB and Remoteness Index scores for relevant First Nation and Inuit communities </w:t>
      </w:r>
      <w:r w:rsidR="001A7B2C">
        <w:t>in the ABFP and ADLA datasets</w:t>
      </w:r>
      <w:r w:rsidR="00C113EB" w:rsidRPr="00BB3D77">
        <w:t>, grouped by their 20-year change in CWB</w:t>
      </w:r>
    </w:p>
    <w:tbl>
      <w:tblPr>
        <w:tblStyle w:val="LightShading-Accent11"/>
        <w:tblW w:w="7685" w:type="dxa"/>
        <w:tblLook w:val="04A0" w:firstRow="1" w:lastRow="0" w:firstColumn="1" w:lastColumn="0" w:noHBand="0" w:noVBand="1"/>
      </w:tblPr>
      <w:tblGrid>
        <w:gridCol w:w="2120"/>
        <w:gridCol w:w="1245"/>
        <w:gridCol w:w="994"/>
        <w:gridCol w:w="1406"/>
        <w:gridCol w:w="960"/>
        <w:gridCol w:w="960"/>
      </w:tblGrid>
      <w:tr w:rsidR="00A557E2" w:rsidRPr="00BB3D77" w14:paraId="7B1FDBFC" w14:textId="77777777" w:rsidTr="00A557E2">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05B97973" w14:textId="1B56A3A2" w:rsidR="00A557E2" w:rsidRPr="00BB3D77" w:rsidRDefault="00A557E2" w:rsidP="00A557E2">
            <w:pPr>
              <w:spacing w:after="0" w:line="240" w:lineRule="auto"/>
              <w:jc w:val="center"/>
              <w:rPr>
                <w:rFonts w:asciiTheme="minorHAnsi" w:eastAsia="Times New Roman" w:hAnsiTheme="minorHAnsi" w:cstheme="minorHAnsi"/>
                <w:color w:val="000000"/>
                <w:lang w:val="en-CA" w:eastAsia="en-CA"/>
              </w:rPr>
            </w:pPr>
            <w:r w:rsidRPr="00BB3D77">
              <w:rPr>
                <w:rFonts w:asciiTheme="minorHAnsi" w:eastAsia="Times New Roman" w:hAnsiTheme="minorHAnsi" w:cstheme="minorHAnsi"/>
                <w:color w:val="000000"/>
                <w:lang w:val="en-CA" w:eastAsia="en-CA"/>
              </w:rPr>
              <w:t>20-year change in CWB scores</w:t>
            </w:r>
          </w:p>
        </w:tc>
        <w:tc>
          <w:tcPr>
            <w:tcW w:w="2239" w:type="dxa"/>
            <w:gridSpan w:val="2"/>
            <w:noWrap/>
            <w:vAlign w:val="center"/>
          </w:tcPr>
          <w:p w14:paraId="18A461CF" w14:textId="77777777" w:rsidR="00793035" w:rsidRPr="00BB3D77" w:rsidRDefault="00A557E2" w:rsidP="00A557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color w:val="000000"/>
                <w:lang w:val="en-CA" w:eastAsia="en-CA"/>
              </w:rPr>
            </w:pPr>
            <w:r w:rsidRPr="00BB3D77">
              <w:rPr>
                <w:rFonts w:asciiTheme="minorHAnsi" w:eastAsia="Times New Roman" w:hAnsiTheme="minorHAnsi" w:cstheme="minorHAnsi"/>
                <w:color w:val="000000"/>
                <w:lang w:val="en-CA" w:eastAsia="en-CA"/>
              </w:rPr>
              <w:t>2016 population</w:t>
            </w:r>
            <w:r w:rsidR="00776D06" w:rsidRPr="00BB3D77">
              <w:rPr>
                <w:rFonts w:asciiTheme="minorHAnsi" w:eastAsia="Times New Roman" w:hAnsiTheme="minorHAnsi" w:cstheme="minorHAnsi"/>
                <w:color w:val="000000"/>
                <w:lang w:val="en-CA" w:eastAsia="en-CA"/>
              </w:rPr>
              <w:t xml:space="preserve"> </w:t>
            </w:r>
          </w:p>
          <w:p w14:paraId="1896A39B" w14:textId="543A5623" w:rsidR="00A557E2" w:rsidRPr="00BB3D77" w:rsidRDefault="00776D06" w:rsidP="00A557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CA" w:eastAsia="en-CA"/>
              </w:rPr>
            </w:pPr>
            <w:r w:rsidRPr="00BB3D77">
              <w:rPr>
                <w:rFonts w:asciiTheme="minorHAnsi" w:eastAsia="Times New Roman" w:hAnsiTheme="minorHAnsi" w:cstheme="minorHAnsi"/>
                <w:color w:val="000000"/>
                <w:lang w:val="en-CA" w:eastAsia="en-CA"/>
              </w:rPr>
              <w:t>(</w:t>
            </w:r>
            <w:r w:rsidR="00DD51C0" w:rsidRPr="00BB3D77">
              <w:rPr>
                <w:rFonts w:asciiTheme="minorHAnsi" w:eastAsia="Times New Roman" w:hAnsiTheme="minorHAnsi" w:cstheme="minorHAnsi"/>
                <w:color w:val="000000"/>
                <w:lang w:val="en-CA" w:eastAsia="en-CA"/>
              </w:rPr>
              <w:t>Count/Proportion</w:t>
            </w:r>
            <w:r w:rsidRPr="00BB3D77">
              <w:rPr>
                <w:rFonts w:asciiTheme="minorHAnsi" w:eastAsia="Times New Roman" w:hAnsiTheme="minorHAnsi" w:cstheme="minorHAnsi"/>
                <w:color w:val="000000"/>
                <w:lang w:val="en-CA" w:eastAsia="en-CA"/>
              </w:rPr>
              <w:t>)</w:t>
            </w:r>
          </w:p>
        </w:tc>
        <w:tc>
          <w:tcPr>
            <w:tcW w:w="1406" w:type="dxa"/>
            <w:noWrap/>
            <w:vAlign w:val="center"/>
            <w:hideMark/>
          </w:tcPr>
          <w:p w14:paraId="660F36B1" w14:textId="1A876011" w:rsidR="00A557E2" w:rsidRPr="00BB3D77" w:rsidRDefault="00A557E2" w:rsidP="00A557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CA" w:eastAsia="en-CA"/>
              </w:rPr>
            </w:pPr>
            <w:r w:rsidRPr="00BB3D77">
              <w:rPr>
                <w:rFonts w:asciiTheme="minorHAnsi" w:eastAsia="Times New Roman" w:hAnsiTheme="minorHAnsi" w:cstheme="minorHAnsi"/>
                <w:color w:val="000000"/>
                <w:lang w:val="en-CA" w:eastAsia="en-CA"/>
              </w:rPr>
              <w:t>Remoteness</w:t>
            </w:r>
            <w:r w:rsidR="00793035" w:rsidRPr="00BB3D77">
              <w:rPr>
                <w:rFonts w:asciiTheme="minorHAnsi" w:eastAsia="Times New Roman" w:hAnsiTheme="minorHAnsi" w:cstheme="minorHAnsi"/>
                <w:color w:val="000000"/>
                <w:lang w:val="en-CA" w:eastAsia="en-CA"/>
              </w:rPr>
              <w:t xml:space="preserve"> Index</w:t>
            </w:r>
          </w:p>
        </w:tc>
        <w:tc>
          <w:tcPr>
            <w:tcW w:w="960" w:type="dxa"/>
            <w:noWrap/>
            <w:vAlign w:val="center"/>
            <w:hideMark/>
          </w:tcPr>
          <w:p w14:paraId="70B205C8" w14:textId="77777777" w:rsidR="00A557E2" w:rsidRPr="00BB3D77" w:rsidRDefault="00A557E2" w:rsidP="00A557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CA" w:eastAsia="en-CA"/>
              </w:rPr>
            </w:pPr>
            <w:r w:rsidRPr="00BB3D77">
              <w:rPr>
                <w:rFonts w:asciiTheme="minorHAnsi" w:eastAsia="Times New Roman" w:hAnsiTheme="minorHAnsi" w:cstheme="minorHAnsi"/>
                <w:color w:val="000000"/>
                <w:lang w:val="en-CA" w:eastAsia="en-CA"/>
              </w:rPr>
              <w:t>NAICS 522</w:t>
            </w:r>
          </w:p>
        </w:tc>
        <w:tc>
          <w:tcPr>
            <w:tcW w:w="960" w:type="dxa"/>
            <w:noWrap/>
            <w:vAlign w:val="center"/>
            <w:hideMark/>
          </w:tcPr>
          <w:p w14:paraId="7894AF8E" w14:textId="77777777" w:rsidR="00A557E2" w:rsidRPr="00BB3D77" w:rsidRDefault="00A557E2" w:rsidP="00A557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en-CA" w:eastAsia="en-CA"/>
              </w:rPr>
            </w:pPr>
            <w:r w:rsidRPr="00BB3D77">
              <w:rPr>
                <w:rFonts w:asciiTheme="minorHAnsi" w:eastAsia="Times New Roman" w:hAnsiTheme="minorHAnsi" w:cstheme="minorHAnsi"/>
                <w:color w:val="000000"/>
                <w:lang w:val="en-CA" w:eastAsia="en-CA"/>
              </w:rPr>
              <w:t>2016 CWB</w:t>
            </w:r>
          </w:p>
        </w:tc>
      </w:tr>
      <w:tr w:rsidR="00A557E2" w:rsidRPr="00BB3D77" w14:paraId="5ECA56AD" w14:textId="77777777" w:rsidTr="00A557E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7B875631" w14:textId="74062F09" w:rsidR="00A557E2" w:rsidRPr="00BB3D77" w:rsidRDefault="00A557E2" w:rsidP="00A557E2">
            <w:pPr>
              <w:spacing w:after="0" w:line="240" w:lineRule="auto"/>
              <w:jc w:val="center"/>
              <w:rPr>
                <w:rFonts w:asciiTheme="minorHAnsi" w:eastAsia="Times New Roman" w:hAnsiTheme="minorHAnsi" w:cstheme="minorHAnsi"/>
                <w:color w:val="000000"/>
                <w:lang w:val="en-CA" w:eastAsia="en-CA"/>
              </w:rPr>
            </w:pPr>
            <w:r w:rsidRPr="00BB3D77">
              <w:rPr>
                <w:rFonts w:asciiTheme="minorHAnsi" w:eastAsia="Times New Roman" w:hAnsiTheme="minorHAnsi" w:cstheme="minorHAnsi"/>
                <w:color w:val="000000"/>
                <w:lang w:val="en-CA" w:eastAsia="en-CA"/>
              </w:rPr>
              <w:t>16</w:t>
            </w:r>
            <w:r w:rsidR="00E73D1D" w:rsidRPr="00BB3D77">
              <w:rPr>
                <w:rFonts w:asciiTheme="minorHAnsi" w:eastAsia="Times New Roman" w:hAnsiTheme="minorHAnsi" w:cstheme="minorHAnsi"/>
                <w:color w:val="000000"/>
                <w:lang w:val="en-CA" w:eastAsia="en-CA"/>
              </w:rPr>
              <w:t xml:space="preserve"> </w:t>
            </w:r>
            <w:r w:rsidRPr="00BB3D77">
              <w:rPr>
                <w:rFonts w:asciiTheme="minorHAnsi" w:eastAsia="Times New Roman" w:hAnsiTheme="minorHAnsi" w:cstheme="minorHAnsi"/>
                <w:color w:val="000000"/>
                <w:lang w:val="en-CA" w:eastAsia="en-CA"/>
              </w:rPr>
              <w:t>to</w:t>
            </w:r>
            <w:r w:rsidR="00E73D1D" w:rsidRPr="00BB3D77">
              <w:rPr>
                <w:rFonts w:asciiTheme="minorHAnsi" w:eastAsia="Times New Roman" w:hAnsiTheme="minorHAnsi" w:cstheme="minorHAnsi"/>
                <w:color w:val="000000"/>
                <w:lang w:val="en-CA" w:eastAsia="en-CA"/>
              </w:rPr>
              <w:t xml:space="preserve"> </w:t>
            </w:r>
            <w:r w:rsidRPr="00BB3D77">
              <w:rPr>
                <w:rFonts w:asciiTheme="minorHAnsi" w:eastAsia="Times New Roman" w:hAnsiTheme="minorHAnsi" w:cstheme="minorHAnsi"/>
                <w:color w:val="000000"/>
                <w:lang w:val="en-CA" w:eastAsia="en-CA"/>
              </w:rPr>
              <w:t xml:space="preserve">24 points </w:t>
            </w:r>
          </w:p>
        </w:tc>
        <w:tc>
          <w:tcPr>
            <w:tcW w:w="1245" w:type="dxa"/>
            <w:noWrap/>
            <w:vAlign w:val="center"/>
            <w:hideMark/>
          </w:tcPr>
          <w:p w14:paraId="12027E7B" w14:textId="55FF2795"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6,347</w:t>
            </w:r>
          </w:p>
        </w:tc>
        <w:tc>
          <w:tcPr>
            <w:tcW w:w="994" w:type="dxa"/>
            <w:noWrap/>
            <w:vAlign w:val="center"/>
            <w:hideMark/>
          </w:tcPr>
          <w:p w14:paraId="04BADEB9" w14:textId="5C25DB1F"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val="en-CA" w:eastAsia="en-CA"/>
              </w:rPr>
              <w:t>3%</w:t>
            </w:r>
          </w:p>
        </w:tc>
        <w:tc>
          <w:tcPr>
            <w:tcW w:w="1406" w:type="dxa"/>
            <w:noWrap/>
            <w:vAlign w:val="center"/>
            <w:hideMark/>
          </w:tcPr>
          <w:p w14:paraId="0FFF0EDD" w14:textId="77777777"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0.4</w:t>
            </w:r>
          </w:p>
        </w:tc>
        <w:tc>
          <w:tcPr>
            <w:tcW w:w="960" w:type="dxa"/>
            <w:noWrap/>
            <w:vAlign w:val="center"/>
            <w:hideMark/>
          </w:tcPr>
          <w:p w14:paraId="46E9FBD7" w14:textId="77777777"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0.7</w:t>
            </w:r>
          </w:p>
        </w:tc>
        <w:tc>
          <w:tcPr>
            <w:tcW w:w="960" w:type="dxa"/>
            <w:noWrap/>
            <w:vAlign w:val="center"/>
            <w:hideMark/>
          </w:tcPr>
          <w:p w14:paraId="196F52DB" w14:textId="77777777"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66</w:t>
            </w:r>
          </w:p>
        </w:tc>
      </w:tr>
      <w:tr w:rsidR="00A557E2" w:rsidRPr="00BB3D77" w14:paraId="6CAB564C" w14:textId="77777777" w:rsidTr="00A557E2">
        <w:trPr>
          <w:trHeight w:val="264"/>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136C10C1" w14:textId="66C05A1A" w:rsidR="00A557E2" w:rsidRPr="00BB3D77" w:rsidRDefault="00A557E2" w:rsidP="00A557E2">
            <w:pPr>
              <w:spacing w:after="0" w:line="240" w:lineRule="auto"/>
              <w:jc w:val="center"/>
              <w:rPr>
                <w:rFonts w:asciiTheme="minorHAnsi" w:eastAsia="Times New Roman" w:hAnsiTheme="minorHAnsi" w:cstheme="minorHAnsi"/>
                <w:b w:val="0"/>
                <w:color w:val="000000"/>
                <w:lang w:val="en-CA" w:eastAsia="en-CA"/>
              </w:rPr>
            </w:pPr>
            <w:r w:rsidRPr="00BB3D77">
              <w:rPr>
                <w:rFonts w:asciiTheme="minorHAnsi" w:eastAsia="Times New Roman" w:hAnsiTheme="minorHAnsi" w:cstheme="minorHAnsi"/>
                <w:b w:val="0"/>
                <w:color w:val="000000"/>
                <w:lang w:val="en-CA" w:eastAsia="en-CA"/>
              </w:rPr>
              <w:t>11</w:t>
            </w:r>
            <w:r w:rsidR="00E73D1D" w:rsidRPr="00BB3D77">
              <w:rPr>
                <w:rFonts w:asciiTheme="minorHAnsi" w:eastAsia="Times New Roman" w:hAnsiTheme="minorHAnsi" w:cstheme="minorHAnsi"/>
                <w:b w:val="0"/>
                <w:color w:val="000000"/>
                <w:lang w:val="en-CA" w:eastAsia="en-CA"/>
              </w:rPr>
              <w:t xml:space="preserve"> </w:t>
            </w:r>
            <w:r w:rsidRPr="00BB3D77">
              <w:rPr>
                <w:rFonts w:asciiTheme="minorHAnsi" w:eastAsia="Times New Roman" w:hAnsiTheme="minorHAnsi" w:cstheme="minorHAnsi"/>
                <w:b w:val="0"/>
                <w:color w:val="000000"/>
                <w:lang w:val="en-CA" w:eastAsia="en-CA"/>
              </w:rPr>
              <w:t>to</w:t>
            </w:r>
            <w:r w:rsidR="00E73D1D" w:rsidRPr="00BB3D77">
              <w:rPr>
                <w:rFonts w:asciiTheme="minorHAnsi" w:eastAsia="Times New Roman" w:hAnsiTheme="minorHAnsi" w:cstheme="minorHAnsi"/>
                <w:b w:val="0"/>
                <w:color w:val="000000"/>
                <w:lang w:val="en-CA" w:eastAsia="en-CA"/>
              </w:rPr>
              <w:t xml:space="preserve"> </w:t>
            </w:r>
            <w:r w:rsidRPr="00BB3D77">
              <w:rPr>
                <w:rFonts w:asciiTheme="minorHAnsi" w:eastAsia="Times New Roman" w:hAnsiTheme="minorHAnsi" w:cstheme="minorHAnsi"/>
                <w:b w:val="0"/>
                <w:color w:val="000000"/>
                <w:lang w:val="en-CA" w:eastAsia="en-CA"/>
              </w:rPr>
              <w:t>15 points</w:t>
            </w:r>
          </w:p>
        </w:tc>
        <w:tc>
          <w:tcPr>
            <w:tcW w:w="1245" w:type="dxa"/>
            <w:noWrap/>
            <w:vAlign w:val="center"/>
            <w:hideMark/>
          </w:tcPr>
          <w:p w14:paraId="33CB70CA" w14:textId="2D469996"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14,536</w:t>
            </w:r>
          </w:p>
        </w:tc>
        <w:tc>
          <w:tcPr>
            <w:tcW w:w="994" w:type="dxa"/>
            <w:noWrap/>
            <w:vAlign w:val="center"/>
            <w:hideMark/>
          </w:tcPr>
          <w:p w14:paraId="1EB2C376" w14:textId="3491478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val="en-CA" w:eastAsia="en-CA"/>
              </w:rPr>
              <w:t>8%</w:t>
            </w:r>
          </w:p>
        </w:tc>
        <w:tc>
          <w:tcPr>
            <w:tcW w:w="1406" w:type="dxa"/>
            <w:noWrap/>
            <w:vAlign w:val="center"/>
            <w:hideMark/>
          </w:tcPr>
          <w:p w14:paraId="4B0143AF" w14:textId="7777777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0.46</w:t>
            </w:r>
          </w:p>
        </w:tc>
        <w:tc>
          <w:tcPr>
            <w:tcW w:w="960" w:type="dxa"/>
            <w:noWrap/>
            <w:vAlign w:val="center"/>
            <w:hideMark/>
          </w:tcPr>
          <w:p w14:paraId="0A8E64CC" w14:textId="7777777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0.63</w:t>
            </w:r>
          </w:p>
        </w:tc>
        <w:tc>
          <w:tcPr>
            <w:tcW w:w="960" w:type="dxa"/>
            <w:noWrap/>
            <w:vAlign w:val="center"/>
            <w:hideMark/>
          </w:tcPr>
          <w:p w14:paraId="13BD9FE2" w14:textId="7777777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61</w:t>
            </w:r>
          </w:p>
        </w:tc>
      </w:tr>
      <w:tr w:rsidR="00A557E2" w:rsidRPr="00BB3D77" w14:paraId="27E695B0" w14:textId="77777777" w:rsidTr="00A557E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041AA078" w14:textId="23892E21" w:rsidR="00A557E2" w:rsidRPr="00BB3D77" w:rsidRDefault="00A557E2" w:rsidP="00A557E2">
            <w:pPr>
              <w:spacing w:after="0" w:line="240" w:lineRule="auto"/>
              <w:jc w:val="center"/>
              <w:rPr>
                <w:rFonts w:asciiTheme="minorHAnsi" w:eastAsia="Times New Roman" w:hAnsiTheme="minorHAnsi" w:cstheme="minorHAnsi"/>
                <w:b w:val="0"/>
                <w:color w:val="000000"/>
                <w:lang w:val="en-CA" w:eastAsia="en-CA"/>
              </w:rPr>
            </w:pPr>
            <w:r w:rsidRPr="00BB3D77">
              <w:rPr>
                <w:rFonts w:asciiTheme="minorHAnsi" w:eastAsia="Times New Roman" w:hAnsiTheme="minorHAnsi" w:cstheme="minorHAnsi"/>
                <w:b w:val="0"/>
                <w:color w:val="000000"/>
                <w:lang w:val="en-CA" w:eastAsia="en-CA"/>
              </w:rPr>
              <w:t>6</w:t>
            </w:r>
            <w:r w:rsidR="00E73D1D" w:rsidRPr="00BB3D77">
              <w:rPr>
                <w:rFonts w:asciiTheme="minorHAnsi" w:eastAsia="Times New Roman" w:hAnsiTheme="minorHAnsi" w:cstheme="minorHAnsi"/>
                <w:b w:val="0"/>
                <w:color w:val="000000"/>
                <w:lang w:val="en-CA" w:eastAsia="en-CA"/>
              </w:rPr>
              <w:t xml:space="preserve"> </w:t>
            </w:r>
            <w:r w:rsidRPr="00BB3D77">
              <w:rPr>
                <w:rFonts w:asciiTheme="minorHAnsi" w:eastAsia="Times New Roman" w:hAnsiTheme="minorHAnsi" w:cstheme="minorHAnsi"/>
                <w:b w:val="0"/>
                <w:color w:val="000000"/>
                <w:lang w:val="en-CA" w:eastAsia="en-CA"/>
              </w:rPr>
              <w:t>to</w:t>
            </w:r>
            <w:r w:rsidR="00E73D1D" w:rsidRPr="00BB3D77">
              <w:rPr>
                <w:rFonts w:asciiTheme="minorHAnsi" w:eastAsia="Times New Roman" w:hAnsiTheme="minorHAnsi" w:cstheme="minorHAnsi"/>
                <w:b w:val="0"/>
                <w:color w:val="000000"/>
                <w:lang w:val="en-CA" w:eastAsia="en-CA"/>
              </w:rPr>
              <w:t xml:space="preserve"> </w:t>
            </w:r>
            <w:r w:rsidRPr="00BB3D77">
              <w:rPr>
                <w:rFonts w:asciiTheme="minorHAnsi" w:eastAsia="Times New Roman" w:hAnsiTheme="minorHAnsi" w:cstheme="minorHAnsi"/>
                <w:b w:val="0"/>
                <w:color w:val="000000"/>
                <w:lang w:val="en-CA" w:eastAsia="en-CA"/>
              </w:rPr>
              <w:t>10 points</w:t>
            </w:r>
          </w:p>
        </w:tc>
        <w:tc>
          <w:tcPr>
            <w:tcW w:w="1245" w:type="dxa"/>
            <w:noWrap/>
            <w:vAlign w:val="center"/>
            <w:hideMark/>
          </w:tcPr>
          <w:p w14:paraId="0C8ABCA4" w14:textId="06C49F53"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74,347</w:t>
            </w:r>
          </w:p>
        </w:tc>
        <w:tc>
          <w:tcPr>
            <w:tcW w:w="994" w:type="dxa"/>
            <w:noWrap/>
            <w:vAlign w:val="center"/>
            <w:hideMark/>
          </w:tcPr>
          <w:p w14:paraId="41739706" w14:textId="00AEDFC3"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val="en-CA" w:eastAsia="en-CA"/>
              </w:rPr>
              <w:t>39%</w:t>
            </w:r>
          </w:p>
        </w:tc>
        <w:tc>
          <w:tcPr>
            <w:tcW w:w="1406" w:type="dxa"/>
            <w:noWrap/>
            <w:vAlign w:val="center"/>
            <w:hideMark/>
          </w:tcPr>
          <w:p w14:paraId="0A75AAE8" w14:textId="77777777"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0.43</w:t>
            </w:r>
          </w:p>
        </w:tc>
        <w:tc>
          <w:tcPr>
            <w:tcW w:w="960" w:type="dxa"/>
            <w:noWrap/>
            <w:vAlign w:val="center"/>
            <w:hideMark/>
          </w:tcPr>
          <w:p w14:paraId="5F2A4512" w14:textId="77777777"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0.62</w:t>
            </w:r>
          </w:p>
        </w:tc>
        <w:tc>
          <w:tcPr>
            <w:tcW w:w="960" w:type="dxa"/>
            <w:noWrap/>
            <w:vAlign w:val="center"/>
            <w:hideMark/>
          </w:tcPr>
          <w:p w14:paraId="73A8A59E" w14:textId="77777777"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61</w:t>
            </w:r>
          </w:p>
        </w:tc>
      </w:tr>
      <w:tr w:rsidR="00A557E2" w:rsidRPr="00BB3D77" w14:paraId="7CC02235" w14:textId="77777777" w:rsidTr="00A557E2">
        <w:trPr>
          <w:trHeight w:val="264"/>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54093B02" w14:textId="5895DF81" w:rsidR="00A557E2" w:rsidRPr="00BB3D77" w:rsidRDefault="00A557E2" w:rsidP="00A557E2">
            <w:pPr>
              <w:spacing w:after="0" w:line="240" w:lineRule="auto"/>
              <w:jc w:val="center"/>
              <w:rPr>
                <w:rFonts w:asciiTheme="minorHAnsi" w:eastAsia="Times New Roman" w:hAnsiTheme="minorHAnsi" w:cstheme="minorHAnsi"/>
                <w:b w:val="0"/>
                <w:color w:val="000000"/>
                <w:lang w:val="en-CA" w:eastAsia="en-CA"/>
              </w:rPr>
            </w:pPr>
            <w:r w:rsidRPr="00BB3D77">
              <w:rPr>
                <w:rFonts w:asciiTheme="minorHAnsi" w:eastAsia="Times New Roman" w:hAnsiTheme="minorHAnsi" w:cstheme="minorHAnsi"/>
                <w:b w:val="0"/>
                <w:color w:val="000000"/>
                <w:lang w:val="en-CA" w:eastAsia="en-CA"/>
              </w:rPr>
              <w:t>1</w:t>
            </w:r>
            <w:r w:rsidR="00E73D1D" w:rsidRPr="00BB3D77">
              <w:rPr>
                <w:rFonts w:asciiTheme="minorHAnsi" w:eastAsia="Times New Roman" w:hAnsiTheme="minorHAnsi" w:cstheme="minorHAnsi"/>
                <w:b w:val="0"/>
                <w:color w:val="000000"/>
                <w:lang w:val="en-CA" w:eastAsia="en-CA"/>
              </w:rPr>
              <w:t xml:space="preserve">0 </w:t>
            </w:r>
            <w:r w:rsidRPr="00BB3D77">
              <w:rPr>
                <w:rFonts w:asciiTheme="minorHAnsi" w:eastAsia="Times New Roman" w:hAnsiTheme="minorHAnsi" w:cstheme="minorHAnsi"/>
                <w:b w:val="0"/>
                <w:color w:val="000000"/>
                <w:lang w:val="en-CA" w:eastAsia="en-CA"/>
              </w:rPr>
              <w:t>to 5 pints</w:t>
            </w:r>
          </w:p>
        </w:tc>
        <w:tc>
          <w:tcPr>
            <w:tcW w:w="1245" w:type="dxa"/>
            <w:noWrap/>
            <w:vAlign w:val="center"/>
            <w:hideMark/>
          </w:tcPr>
          <w:p w14:paraId="01298CCE" w14:textId="47E0AFCF"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72,731</w:t>
            </w:r>
          </w:p>
        </w:tc>
        <w:tc>
          <w:tcPr>
            <w:tcW w:w="994" w:type="dxa"/>
            <w:noWrap/>
            <w:vAlign w:val="center"/>
            <w:hideMark/>
          </w:tcPr>
          <w:p w14:paraId="320B5C7B" w14:textId="7777777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val="en-CA" w:eastAsia="en-CA"/>
              </w:rPr>
              <w:t>38%</w:t>
            </w:r>
          </w:p>
        </w:tc>
        <w:tc>
          <w:tcPr>
            <w:tcW w:w="1406" w:type="dxa"/>
            <w:noWrap/>
            <w:vAlign w:val="center"/>
            <w:hideMark/>
          </w:tcPr>
          <w:p w14:paraId="78E7A383" w14:textId="7777777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0.46</w:t>
            </w:r>
          </w:p>
        </w:tc>
        <w:tc>
          <w:tcPr>
            <w:tcW w:w="960" w:type="dxa"/>
            <w:noWrap/>
            <w:vAlign w:val="center"/>
            <w:hideMark/>
          </w:tcPr>
          <w:p w14:paraId="6978D335" w14:textId="7777777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0.58</w:t>
            </w:r>
          </w:p>
        </w:tc>
        <w:tc>
          <w:tcPr>
            <w:tcW w:w="960" w:type="dxa"/>
            <w:noWrap/>
            <w:vAlign w:val="center"/>
            <w:hideMark/>
          </w:tcPr>
          <w:p w14:paraId="5B4B8F2A" w14:textId="7777777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58</w:t>
            </w:r>
          </w:p>
        </w:tc>
      </w:tr>
      <w:tr w:rsidR="00A557E2" w:rsidRPr="00BB3D77" w14:paraId="4EED295A" w14:textId="77777777" w:rsidTr="00A557E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71ED574B" w14:textId="07BEC0F3" w:rsidR="00A557E2" w:rsidRPr="00BB3D77" w:rsidRDefault="00A557E2" w:rsidP="00A557E2">
            <w:pPr>
              <w:spacing w:after="0" w:line="240" w:lineRule="auto"/>
              <w:jc w:val="center"/>
              <w:rPr>
                <w:rFonts w:asciiTheme="minorHAnsi" w:eastAsia="Times New Roman" w:hAnsiTheme="minorHAnsi" w:cstheme="minorHAnsi"/>
                <w:b w:val="0"/>
                <w:color w:val="000000"/>
                <w:lang w:val="en-CA" w:eastAsia="en-CA"/>
              </w:rPr>
            </w:pPr>
            <w:r w:rsidRPr="00BB3D77">
              <w:rPr>
                <w:rFonts w:asciiTheme="minorHAnsi" w:eastAsia="Times New Roman" w:hAnsiTheme="minorHAnsi" w:cstheme="minorHAnsi"/>
                <w:b w:val="0"/>
                <w:color w:val="000000"/>
                <w:lang w:val="en-CA" w:eastAsia="en-CA"/>
              </w:rPr>
              <w:t>Zero points</w:t>
            </w:r>
          </w:p>
        </w:tc>
        <w:tc>
          <w:tcPr>
            <w:tcW w:w="1245" w:type="dxa"/>
            <w:noWrap/>
            <w:vAlign w:val="center"/>
            <w:hideMark/>
          </w:tcPr>
          <w:p w14:paraId="393AC4D1" w14:textId="5EA09C35"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9,663</w:t>
            </w:r>
          </w:p>
        </w:tc>
        <w:tc>
          <w:tcPr>
            <w:tcW w:w="994" w:type="dxa"/>
            <w:noWrap/>
            <w:vAlign w:val="center"/>
            <w:hideMark/>
          </w:tcPr>
          <w:p w14:paraId="1E9D6769" w14:textId="77777777"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val="en-CA" w:eastAsia="en-CA"/>
              </w:rPr>
              <w:t>5%</w:t>
            </w:r>
          </w:p>
        </w:tc>
        <w:tc>
          <w:tcPr>
            <w:tcW w:w="1406" w:type="dxa"/>
            <w:noWrap/>
            <w:vAlign w:val="center"/>
            <w:hideMark/>
          </w:tcPr>
          <w:p w14:paraId="1794E6B0" w14:textId="77777777"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0.49</w:t>
            </w:r>
          </w:p>
        </w:tc>
        <w:tc>
          <w:tcPr>
            <w:tcW w:w="960" w:type="dxa"/>
            <w:noWrap/>
            <w:vAlign w:val="center"/>
            <w:hideMark/>
          </w:tcPr>
          <w:p w14:paraId="4662A29D" w14:textId="77777777"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0.48</w:t>
            </w:r>
          </w:p>
        </w:tc>
        <w:tc>
          <w:tcPr>
            <w:tcW w:w="960" w:type="dxa"/>
            <w:noWrap/>
            <w:vAlign w:val="center"/>
            <w:hideMark/>
          </w:tcPr>
          <w:p w14:paraId="51052F1C" w14:textId="77777777"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52</w:t>
            </w:r>
          </w:p>
        </w:tc>
      </w:tr>
      <w:tr w:rsidR="00A557E2" w:rsidRPr="00BB3D77" w14:paraId="37FAB0D8" w14:textId="77777777" w:rsidTr="00A557E2">
        <w:trPr>
          <w:trHeight w:val="264"/>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7B5835E9" w14:textId="6CB154ED" w:rsidR="00A557E2" w:rsidRPr="00BB3D77" w:rsidRDefault="00A557E2" w:rsidP="00A557E2">
            <w:pPr>
              <w:spacing w:after="0" w:line="240" w:lineRule="auto"/>
              <w:jc w:val="center"/>
              <w:rPr>
                <w:rFonts w:asciiTheme="minorHAnsi" w:eastAsia="Times New Roman" w:hAnsiTheme="minorHAnsi" w:cstheme="minorHAnsi"/>
                <w:b w:val="0"/>
                <w:color w:val="000000"/>
                <w:lang w:val="en-CA" w:eastAsia="en-CA"/>
              </w:rPr>
            </w:pPr>
            <w:r w:rsidRPr="00BB3D77">
              <w:rPr>
                <w:rFonts w:asciiTheme="minorHAnsi" w:eastAsia="Times New Roman" w:hAnsiTheme="minorHAnsi" w:cstheme="minorHAnsi"/>
                <w:b w:val="0"/>
                <w:color w:val="000000"/>
                <w:lang w:val="en-CA" w:eastAsia="en-CA"/>
              </w:rPr>
              <w:t>-1 to -5 points</w:t>
            </w:r>
          </w:p>
        </w:tc>
        <w:tc>
          <w:tcPr>
            <w:tcW w:w="1245" w:type="dxa"/>
            <w:noWrap/>
            <w:vAlign w:val="center"/>
            <w:hideMark/>
          </w:tcPr>
          <w:p w14:paraId="02193225" w14:textId="7777777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13,080</w:t>
            </w:r>
          </w:p>
        </w:tc>
        <w:tc>
          <w:tcPr>
            <w:tcW w:w="994" w:type="dxa"/>
            <w:noWrap/>
            <w:vAlign w:val="center"/>
            <w:hideMark/>
          </w:tcPr>
          <w:p w14:paraId="1BA56AB8" w14:textId="7777777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val="en-CA" w:eastAsia="en-CA"/>
              </w:rPr>
              <w:t>7%</w:t>
            </w:r>
          </w:p>
        </w:tc>
        <w:tc>
          <w:tcPr>
            <w:tcW w:w="1406" w:type="dxa"/>
            <w:noWrap/>
            <w:vAlign w:val="center"/>
            <w:hideMark/>
          </w:tcPr>
          <w:p w14:paraId="33FBCDF1" w14:textId="7777777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0.45</w:t>
            </w:r>
          </w:p>
        </w:tc>
        <w:tc>
          <w:tcPr>
            <w:tcW w:w="960" w:type="dxa"/>
            <w:noWrap/>
            <w:vAlign w:val="center"/>
            <w:hideMark/>
          </w:tcPr>
          <w:p w14:paraId="5E1870C3" w14:textId="7777777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0.5</w:t>
            </w:r>
          </w:p>
        </w:tc>
        <w:tc>
          <w:tcPr>
            <w:tcW w:w="960" w:type="dxa"/>
            <w:noWrap/>
            <w:vAlign w:val="center"/>
            <w:hideMark/>
          </w:tcPr>
          <w:p w14:paraId="6AAADD5A" w14:textId="7777777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51</w:t>
            </w:r>
          </w:p>
        </w:tc>
      </w:tr>
      <w:tr w:rsidR="00A557E2" w:rsidRPr="00BB3D77" w14:paraId="395F93E2" w14:textId="77777777" w:rsidTr="00A557E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275F1E92" w14:textId="42EDAAAC" w:rsidR="00A557E2" w:rsidRPr="00BB3D77" w:rsidRDefault="00A557E2" w:rsidP="00A557E2">
            <w:pPr>
              <w:spacing w:after="0" w:line="240" w:lineRule="auto"/>
              <w:jc w:val="center"/>
              <w:rPr>
                <w:rFonts w:asciiTheme="minorHAnsi" w:eastAsia="Times New Roman" w:hAnsiTheme="minorHAnsi" w:cstheme="minorHAnsi"/>
                <w:b w:val="0"/>
                <w:color w:val="000000"/>
                <w:lang w:val="en-CA" w:eastAsia="en-CA"/>
              </w:rPr>
            </w:pPr>
            <w:r w:rsidRPr="00BB3D77">
              <w:rPr>
                <w:rFonts w:asciiTheme="minorHAnsi" w:eastAsia="Times New Roman" w:hAnsiTheme="minorHAnsi" w:cstheme="minorHAnsi"/>
                <w:b w:val="0"/>
                <w:color w:val="000000"/>
                <w:lang w:val="en-CA" w:eastAsia="en-CA"/>
              </w:rPr>
              <w:t>-6 to -10 points</w:t>
            </w:r>
          </w:p>
        </w:tc>
        <w:tc>
          <w:tcPr>
            <w:tcW w:w="1245" w:type="dxa"/>
            <w:noWrap/>
            <w:vAlign w:val="center"/>
            <w:hideMark/>
          </w:tcPr>
          <w:p w14:paraId="07248130" w14:textId="77777777"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1,869</w:t>
            </w:r>
          </w:p>
        </w:tc>
        <w:tc>
          <w:tcPr>
            <w:tcW w:w="994" w:type="dxa"/>
            <w:noWrap/>
            <w:vAlign w:val="center"/>
            <w:hideMark/>
          </w:tcPr>
          <w:p w14:paraId="1E7CC01E" w14:textId="77777777"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val="en-CA" w:eastAsia="en-CA"/>
              </w:rPr>
              <w:t>1%</w:t>
            </w:r>
          </w:p>
        </w:tc>
        <w:tc>
          <w:tcPr>
            <w:tcW w:w="1406" w:type="dxa"/>
            <w:noWrap/>
            <w:vAlign w:val="center"/>
            <w:hideMark/>
          </w:tcPr>
          <w:p w14:paraId="32E302C9" w14:textId="77777777"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0.52</w:t>
            </w:r>
          </w:p>
        </w:tc>
        <w:tc>
          <w:tcPr>
            <w:tcW w:w="960" w:type="dxa"/>
            <w:noWrap/>
            <w:vAlign w:val="center"/>
            <w:hideMark/>
          </w:tcPr>
          <w:p w14:paraId="49EEA239" w14:textId="77777777"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0.56</w:t>
            </w:r>
          </w:p>
        </w:tc>
        <w:tc>
          <w:tcPr>
            <w:tcW w:w="960" w:type="dxa"/>
            <w:noWrap/>
            <w:vAlign w:val="center"/>
            <w:hideMark/>
          </w:tcPr>
          <w:p w14:paraId="62D2504D" w14:textId="77777777" w:rsidR="00A557E2" w:rsidRPr="00BB3D77" w:rsidRDefault="00A557E2" w:rsidP="00A55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34</w:t>
            </w:r>
          </w:p>
        </w:tc>
      </w:tr>
      <w:tr w:rsidR="00A557E2" w:rsidRPr="00BB3D77" w14:paraId="39B6F88F" w14:textId="77777777" w:rsidTr="00A557E2">
        <w:trPr>
          <w:trHeight w:val="264"/>
        </w:trPr>
        <w:tc>
          <w:tcPr>
            <w:cnfStyle w:val="001000000000" w:firstRow="0" w:lastRow="0" w:firstColumn="1" w:lastColumn="0" w:oddVBand="0" w:evenVBand="0" w:oddHBand="0" w:evenHBand="0" w:firstRowFirstColumn="0" w:firstRowLastColumn="0" w:lastRowFirstColumn="0" w:lastRowLastColumn="0"/>
            <w:tcW w:w="2120" w:type="dxa"/>
            <w:noWrap/>
            <w:vAlign w:val="center"/>
            <w:hideMark/>
          </w:tcPr>
          <w:p w14:paraId="22B90CE3" w14:textId="77777777" w:rsidR="00A557E2" w:rsidRPr="00BB3D77" w:rsidRDefault="00A557E2" w:rsidP="00A557E2">
            <w:pPr>
              <w:spacing w:after="0" w:line="240" w:lineRule="auto"/>
              <w:jc w:val="center"/>
              <w:rPr>
                <w:rFonts w:asciiTheme="minorHAnsi" w:eastAsia="Times New Roman" w:hAnsiTheme="minorHAnsi" w:cstheme="minorHAnsi"/>
                <w:b w:val="0"/>
                <w:color w:val="000000"/>
                <w:lang w:val="en-CA" w:eastAsia="en-CA"/>
              </w:rPr>
            </w:pPr>
            <w:r w:rsidRPr="00BB3D77">
              <w:rPr>
                <w:rFonts w:asciiTheme="minorHAnsi" w:eastAsia="Times New Roman" w:hAnsiTheme="minorHAnsi" w:cstheme="minorHAnsi"/>
                <w:b w:val="0"/>
                <w:color w:val="000000"/>
                <w:lang w:val="en-CA" w:eastAsia="en-CA"/>
              </w:rPr>
              <w:t>Grand Total or Average</w:t>
            </w:r>
          </w:p>
        </w:tc>
        <w:tc>
          <w:tcPr>
            <w:tcW w:w="1245" w:type="dxa"/>
            <w:noWrap/>
            <w:vAlign w:val="center"/>
            <w:hideMark/>
          </w:tcPr>
          <w:p w14:paraId="30301464" w14:textId="4F481460"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192,573</w:t>
            </w:r>
          </w:p>
        </w:tc>
        <w:tc>
          <w:tcPr>
            <w:tcW w:w="994" w:type="dxa"/>
            <w:noWrap/>
            <w:vAlign w:val="center"/>
            <w:hideMark/>
          </w:tcPr>
          <w:p w14:paraId="3F8B1572" w14:textId="7777777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val="en-CA" w:eastAsia="en-CA"/>
              </w:rPr>
              <w:t>100%</w:t>
            </w:r>
          </w:p>
        </w:tc>
        <w:tc>
          <w:tcPr>
            <w:tcW w:w="1406" w:type="dxa"/>
            <w:noWrap/>
            <w:vAlign w:val="center"/>
            <w:hideMark/>
          </w:tcPr>
          <w:p w14:paraId="55C29D71" w14:textId="7777777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0.45</w:t>
            </w:r>
          </w:p>
        </w:tc>
        <w:tc>
          <w:tcPr>
            <w:tcW w:w="960" w:type="dxa"/>
            <w:noWrap/>
            <w:vAlign w:val="center"/>
            <w:hideMark/>
          </w:tcPr>
          <w:p w14:paraId="261EC887" w14:textId="7777777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0.6</w:t>
            </w:r>
          </w:p>
        </w:tc>
        <w:tc>
          <w:tcPr>
            <w:tcW w:w="960" w:type="dxa"/>
            <w:noWrap/>
            <w:vAlign w:val="center"/>
            <w:hideMark/>
          </w:tcPr>
          <w:p w14:paraId="05FF99AB" w14:textId="77777777" w:rsidR="00A557E2" w:rsidRPr="00BB3D77" w:rsidRDefault="00A557E2" w:rsidP="00A557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val="en-CA" w:eastAsia="en-CA"/>
              </w:rPr>
            </w:pPr>
            <w:r w:rsidRPr="00BB3D77">
              <w:rPr>
                <w:rFonts w:asciiTheme="minorHAnsi" w:eastAsia="Times New Roman" w:hAnsiTheme="minorHAnsi" w:cstheme="minorHAnsi"/>
                <w:bCs w:val="0"/>
                <w:color w:val="000000"/>
                <w:lang w:eastAsia="en-CA"/>
              </w:rPr>
              <w:t>59</w:t>
            </w:r>
          </w:p>
        </w:tc>
      </w:tr>
    </w:tbl>
    <w:p w14:paraId="6F3A0E66" w14:textId="01986B07" w:rsidR="007638CA" w:rsidRPr="00BB3D77" w:rsidRDefault="007638CA" w:rsidP="007638CA">
      <w:pPr>
        <w:pStyle w:val="Body"/>
      </w:pPr>
      <w:r w:rsidRPr="00BB3D77">
        <w:rPr>
          <w:rStyle w:val="ChartSourceChar"/>
        </w:rPr>
        <w:t xml:space="preserve">Source: NACCA, </w:t>
      </w:r>
      <w:r w:rsidR="00EF0DBE" w:rsidRPr="00BB3D77">
        <w:rPr>
          <w:rStyle w:val="ChartSourceChar"/>
        </w:rPr>
        <w:t xml:space="preserve">Statistics Canada, </w:t>
      </w:r>
      <w:r w:rsidRPr="00BB3D77">
        <w:rPr>
          <w:rStyle w:val="ChartSourceChar"/>
        </w:rPr>
        <w:t>The Conference Board of Canada</w:t>
      </w:r>
    </w:p>
    <w:p w14:paraId="1095E5C9" w14:textId="1FC9183D" w:rsidR="00241934" w:rsidRPr="00BB3D77" w:rsidRDefault="00241934" w:rsidP="00A67887">
      <w:pPr>
        <w:pStyle w:val="Body"/>
        <w:spacing w:before="360"/>
      </w:pPr>
    </w:p>
    <w:p w14:paraId="35D5DAF6" w14:textId="5668E2B9" w:rsidR="00363BFD" w:rsidRPr="00BB3D77" w:rsidRDefault="00363BFD">
      <w:pPr>
        <w:spacing w:after="160" w:line="259" w:lineRule="auto"/>
        <w:rPr>
          <w:b/>
          <w:color w:val="00B3F0"/>
          <w:sz w:val="44"/>
          <w:szCs w:val="44"/>
        </w:rPr>
      </w:pPr>
      <w:r w:rsidRPr="00BB3D77">
        <w:br w:type="page"/>
      </w:r>
    </w:p>
    <w:p w14:paraId="43C2B32E" w14:textId="3FAE7739" w:rsidR="00091BDD" w:rsidRPr="00BB3D77" w:rsidRDefault="00091BDD" w:rsidP="00091BDD">
      <w:pPr>
        <w:pStyle w:val="Heading1"/>
      </w:pPr>
      <w:bookmarkStart w:id="35" w:name="_Toc136865090"/>
      <w:r w:rsidRPr="00BB3D77">
        <w:lastRenderedPageBreak/>
        <w:t xml:space="preserve">Chapter </w:t>
      </w:r>
      <w:bookmarkEnd w:id="12"/>
      <w:r w:rsidR="00156CBE" w:rsidRPr="00BB3D77">
        <w:t>3</w:t>
      </w:r>
      <w:bookmarkEnd w:id="35"/>
    </w:p>
    <w:p w14:paraId="19F64625" w14:textId="7E347DAE" w:rsidR="00D67D74" w:rsidRPr="00BB3D77" w:rsidRDefault="00F33D39" w:rsidP="006737AC">
      <w:pPr>
        <w:pStyle w:val="Heading2"/>
      </w:pPr>
      <w:bookmarkStart w:id="36" w:name="_Toc136865091"/>
      <w:r w:rsidRPr="00BB3D77">
        <w:t>E</w:t>
      </w:r>
      <w:r w:rsidR="00A26A7E" w:rsidRPr="00BB3D77">
        <w:t>xploring</w:t>
      </w:r>
      <w:r w:rsidRPr="00BB3D77">
        <w:t xml:space="preserve"> the Social Impacts of </w:t>
      </w:r>
      <w:r w:rsidR="006E748D">
        <w:t>IFI</w:t>
      </w:r>
      <w:r w:rsidR="00A62DD1" w:rsidRPr="00BB3D77">
        <w:t>-</w:t>
      </w:r>
      <w:r w:rsidR="00435933" w:rsidRPr="00BB3D77">
        <w:t>D</w:t>
      </w:r>
      <w:r w:rsidR="00A62DD1" w:rsidRPr="00BB3D77">
        <w:t>riven Finance</w:t>
      </w:r>
      <w:bookmarkEnd w:id="36"/>
      <w:r w:rsidR="00E7105F" w:rsidRPr="00BB3D77">
        <w:t xml:space="preserve"> </w:t>
      </w:r>
    </w:p>
    <w:p w14:paraId="7F6B1681" w14:textId="2011B9A7" w:rsidR="002049E1" w:rsidRPr="00BB3D77" w:rsidRDefault="002049E1" w:rsidP="002049E1">
      <w:pPr>
        <w:pStyle w:val="Body"/>
      </w:pPr>
      <w:bookmarkStart w:id="37" w:name="_Ref62123792"/>
      <w:bookmarkEnd w:id="11"/>
      <w:r w:rsidRPr="00BB3D77">
        <w:t xml:space="preserve">To explore the social impacts </w:t>
      </w:r>
      <w:r w:rsidR="001A7B2C">
        <w:t xml:space="preserve">of </w:t>
      </w:r>
      <w:r w:rsidR="006E748D">
        <w:t>IFI</w:t>
      </w:r>
      <w:r w:rsidR="001A7B2C">
        <w:t xml:space="preserve">-driven investments tied to ABFP and ADLA </w:t>
      </w:r>
      <w:r w:rsidRPr="00BB3D77">
        <w:t>we interpret outputs from our impact assessment with help from relevant Statistics Canada survey research and associated theory on the social determinants of health and wellbeing.</w:t>
      </w:r>
      <w:r w:rsidRPr="00BB3D77">
        <w:rPr>
          <w:rStyle w:val="FootnoteReference"/>
        </w:rPr>
        <w:t xml:space="preserve"> </w:t>
      </w:r>
      <w:r w:rsidRPr="00BB3D77">
        <w:rPr>
          <w:rStyle w:val="FootnoteReference"/>
        </w:rPr>
        <w:footnoteReference w:id="22"/>
      </w:r>
      <w:r w:rsidRPr="00BB3D77">
        <w:t xml:space="preserve"> This chapter also incorporates fifteen case illustrations that showcase the efforts of </w:t>
      </w:r>
      <w:r w:rsidR="006E748D">
        <w:t>IFI</w:t>
      </w:r>
      <w:r w:rsidRPr="00BB3D77">
        <w:t>s across Canada.</w:t>
      </w:r>
    </w:p>
    <w:p w14:paraId="4A4B5517" w14:textId="45C6BB2D" w:rsidR="002049E1" w:rsidRPr="00BB3D77" w:rsidRDefault="002049E1" w:rsidP="002049E1">
      <w:pPr>
        <w:pStyle w:val="Body"/>
      </w:pPr>
      <w:r w:rsidRPr="00BB3D77">
        <w:t xml:space="preserve">We apply theory derived from two decades of statistical research in Canada to model social impacts linked to </w:t>
      </w:r>
      <w:r w:rsidR="006E748D">
        <w:t>IFI</w:t>
      </w:r>
      <w:r w:rsidRPr="00BB3D77">
        <w:t>-driven investments.</w:t>
      </w:r>
      <w:r w:rsidRPr="00BB3D77">
        <w:rPr>
          <w:rStyle w:val="FootnoteReference"/>
        </w:rPr>
        <w:footnoteReference w:id="23"/>
      </w:r>
      <w:r w:rsidRPr="00BB3D77">
        <w:rPr>
          <w:vertAlign w:val="superscript"/>
        </w:rPr>
        <w:t>,</w:t>
      </w:r>
      <w:r w:rsidRPr="00BB3D77">
        <w:rPr>
          <w:rStyle w:val="FootnoteReference"/>
        </w:rPr>
        <w:footnoteReference w:id="24"/>
      </w:r>
      <w:r w:rsidRPr="00BB3D77">
        <w:rPr>
          <w:vertAlign w:val="superscript"/>
        </w:rPr>
        <w:t xml:space="preserve"> </w:t>
      </w:r>
      <w:r w:rsidRPr="00BB3D77">
        <w:t xml:space="preserve"> Our approach builds on our impact assessment’s estimates of direct employment and labour income attributed to </w:t>
      </w:r>
      <w:r w:rsidR="006E748D">
        <w:t>IFI</w:t>
      </w:r>
      <w:r w:rsidRPr="00BB3D77">
        <w:t>-driven investments. The theory hypothesizes that different income groups will report different levels of wellbeing across a range of social indicators including food security, housing satisfaction, and self-rated health and mental health status. As Frohlich et al. summarize it in their 2006 review of Canadian research: “Those with the highest […] incomes in Canada are […] more likely to report excellent or very good health than those with the lowest incomes”.</w:t>
      </w:r>
      <w:r w:rsidRPr="00BB3D77">
        <w:rPr>
          <w:rStyle w:val="FootnoteReference"/>
        </w:rPr>
        <w:footnoteReference w:id="25"/>
      </w:r>
      <w:r w:rsidRPr="00BB3D77">
        <w:t xml:space="preserve"> We apply this theory to our direct impact estimates and explore their relationship to food security, self-reported health and mental health, and housing satisfaction.    </w:t>
      </w:r>
    </w:p>
    <w:p w14:paraId="470C2181" w14:textId="77777777" w:rsidR="002049E1" w:rsidRPr="00BB3D77" w:rsidRDefault="002049E1" w:rsidP="002049E1">
      <w:pPr>
        <w:pStyle w:val="Body"/>
      </w:pPr>
      <w:r w:rsidRPr="00BB3D77">
        <w:t>Readers should note that understanding social determinants of health can be complicated, particularly when it comes to Indigenous peoples. While income is recognized as a significant factor influencing health and general wellbeing, the Canadian research also recognizes that Indigenous identity and community factors affect individual and household indicators of health and wellbeing.</w:t>
      </w:r>
      <w:r w:rsidRPr="00BB3D77">
        <w:rPr>
          <w:rStyle w:val="FootnoteReference"/>
        </w:rPr>
        <w:t xml:space="preserve"> </w:t>
      </w:r>
      <w:r w:rsidRPr="00BB3D77">
        <w:rPr>
          <w:rStyle w:val="FootnoteReference"/>
        </w:rPr>
        <w:footnoteReference w:id="26"/>
      </w:r>
      <w:r w:rsidRPr="00BB3D77">
        <w:t xml:space="preserve"> The relative isolation of a rural reserve or remote northern community for example can significantly limit one’s access to health services, recreational facilities, adequate housing, and nutritious foods. (Also consider the relationship between remoteness and CWB scores discussed in Chapter 2). This situation may not only have a negative impact on one’s self-rated health and wellbeing but may also increase one’s risk of chronic diseases such as </w:t>
      </w:r>
      <w:r w:rsidRPr="00BB3D77">
        <w:lastRenderedPageBreak/>
        <w:t>type II diabetes and exposure to infectious diseases such as tuberculosis.</w:t>
      </w:r>
      <w:r w:rsidRPr="00BB3D77">
        <w:rPr>
          <w:rStyle w:val="FootnoteReference"/>
        </w:rPr>
        <w:footnoteReference w:id="27"/>
      </w:r>
      <w:r w:rsidRPr="00BB3D77">
        <w:rPr>
          <w:vertAlign w:val="superscript"/>
        </w:rPr>
        <w:t>,</w:t>
      </w:r>
      <w:r w:rsidRPr="00BB3D77">
        <w:rPr>
          <w:rStyle w:val="FootnoteReference"/>
        </w:rPr>
        <w:footnoteReference w:id="28"/>
      </w:r>
      <w:r w:rsidRPr="00BB3D77">
        <w:t xml:space="preserve"> At the same time, participation in traditional land-based activities, such as hunting and harvesting, can increase one’s sense of food security and overall perception of wellbeing.</w:t>
      </w:r>
      <w:r w:rsidRPr="00BB3D77">
        <w:rPr>
          <w:rStyle w:val="FootnoteReference"/>
        </w:rPr>
        <w:footnoteReference w:id="29"/>
      </w:r>
    </w:p>
    <w:p w14:paraId="376E3D03" w14:textId="77843561" w:rsidR="002049E1" w:rsidRPr="00BB3D77" w:rsidRDefault="002049E1" w:rsidP="002049E1">
      <w:pPr>
        <w:pStyle w:val="Body"/>
      </w:pPr>
      <w:r w:rsidRPr="00BB3D77">
        <w:t xml:space="preserve">Given the complexity surrounding Indigenous social determinants of health and wellbeing we make use of qualitative information to shed light on the ways </w:t>
      </w:r>
      <w:r w:rsidR="006E748D">
        <w:t>IFI</w:t>
      </w:r>
      <w:r w:rsidRPr="00BB3D77">
        <w:t xml:space="preserve">s make a difference. Our discussion of social impacts incorporates numerous case illustrations of the ways </w:t>
      </w:r>
      <w:r w:rsidR="006E748D">
        <w:t>IFI</w:t>
      </w:r>
      <w:r w:rsidRPr="00BB3D77">
        <w:t xml:space="preserve">s positively impact Indigenous community wellbeing through their investments and other activities (including community service and charitable work). The range of case illustrations covers </w:t>
      </w:r>
      <w:r w:rsidR="006E748D">
        <w:t>IFI</w:t>
      </w:r>
      <w:r w:rsidRPr="00BB3D77">
        <w:t xml:space="preserve"> initiatives to support local food sovereignty, health infrastructure, cultural revival, and improved housing. </w:t>
      </w:r>
    </w:p>
    <w:p w14:paraId="1B276C31" w14:textId="047D842B" w:rsidR="002049E1" w:rsidRPr="00BB3D77" w:rsidRDefault="006E748D" w:rsidP="002049E1">
      <w:pPr>
        <w:pStyle w:val="Heading3"/>
      </w:pPr>
      <w:bookmarkStart w:id="38" w:name="_Toc136865092"/>
      <w:r>
        <w:t>IFI</w:t>
      </w:r>
      <w:r w:rsidR="002049E1" w:rsidRPr="00BB3D77">
        <w:t>s’ potential to raise Indigenous employment incomes</w:t>
      </w:r>
      <w:bookmarkEnd w:id="38"/>
    </w:p>
    <w:p w14:paraId="526E4DF2" w14:textId="39D1D566" w:rsidR="002049E1" w:rsidRPr="00BB3D77" w:rsidRDefault="002049E1" w:rsidP="002049E1">
      <w:pPr>
        <w:pStyle w:val="Body"/>
      </w:pPr>
      <w:r w:rsidRPr="00BB3D77">
        <w:t xml:space="preserve">This first part of our exploration into </w:t>
      </w:r>
      <w:r w:rsidR="006E748D">
        <w:t>IFI</w:t>
      </w:r>
      <w:r w:rsidRPr="00BB3D77">
        <w:t xml:space="preserve">-driven social impacts examines their potential to raise the employment incomes of Indigenous workers in Canada. The NACCA dataset introduced in Chapter 1 indicates that </w:t>
      </w:r>
      <w:bookmarkStart w:id="39" w:name="_Hlk132038130"/>
      <w:r w:rsidR="006E748D">
        <w:t>IFI</w:t>
      </w:r>
      <w:r w:rsidRPr="00BB3D77">
        <w:t xml:space="preserve">s support a range of industries where, on average, Indigenous workers earn more than the mean annual employment income of Indigenous peoples reported in the 2021 census ($42k). Moreover, 69 per cent, or 52 out of 146 industries directly impacted by </w:t>
      </w:r>
      <w:r w:rsidR="006E748D">
        <w:t>IFI</w:t>
      </w:r>
      <w:r w:rsidRPr="00BB3D77">
        <w:t>-driven investments, paid their average Indigenous worker an annual employment income greater than the mean employment income reported for non-Indigenous workers in the 2021 census ($50k).</w:t>
      </w:r>
    </w:p>
    <w:p w14:paraId="6CB114F4" w14:textId="2D33BCD4" w:rsidR="002049E1" w:rsidRPr="00BB3D77" w:rsidRDefault="002049E1" w:rsidP="002049E1">
      <w:pPr>
        <w:pStyle w:val="Body"/>
      </w:pPr>
      <w:r w:rsidRPr="00BB3D77">
        <w:t xml:space="preserve">However, the five years of data from NACCA also suggest that </w:t>
      </w:r>
      <w:r w:rsidR="006E748D">
        <w:t>IFI</w:t>
      </w:r>
      <w:r w:rsidRPr="00BB3D77">
        <w:t xml:space="preserve">-driven investments have been concentrated in a smaller subset of industries, where average incomes are less than the national means reported in the 2021 census. This dampens the </w:t>
      </w:r>
      <w:r w:rsidR="006E748D">
        <w:t>IFI</w:t>
      </w:r>
      <w:r w:rsidRPr="00BB3D77">
        <w:t>s’ potential to close the income gap between Indigenous and non-Indigenous workers.</w:t>
      </w:r>
      <w:bookmarkEnd w:id="39"/>
      <w:r w:rsidRPr="00BB3D77">
        <w:t xml:space="preserve"> In terms of the direct impacts </w:t>
      </w:r>
      <w:r w:rsidR="006E748D">
        <w:t>IFI</w:t>
      </w:r>
      <w:r w:rsidRPr="00BB3D77">
        <w:t>s had from 2016 to 2021</w:t>
      </w:r>
      <w:r w:rsidRPr="00BB3D77">
        <w:rPr>
          <w:rStyle w:val="FootnoteReference"/>
        </w:rPr>
        <w:footnoteReference w:id="30"/>
      </w:r>
      <w:r w:rsidRPr="00BB3D77">
        <w:t xml:space="preserve">, almost 17 per cent of an estimated 7,494 direct full-time equivalent (FTE) jobs were concentrated in industries that paid Indigenous workers a mean annual income greater than $50k. In contrast, 73 per cent of the direct FTEs were in industries that, on average, paid less than the $42k mean reported for Indigenous workers in the 2021 </w:t>
      </w:r>
      <w:r w:rsidRPr="00BB3D77">
        <w:lastRenderedPageBreak/>
        <w:t>census. These include many service sector businesses such as food services, gas stations, general stores, and traveller accommodations. Table 3 below summarizes the situation.</w:t>
      </w:r>
    </w:p>
    <w:p w14:paraId="607DBEE3" w14:textId="51B45C4D" w:rsidR="002049E1" w:rsidRPr="00BB3D77" w:rsidRDefault="002049E1" w:rsidP="002049E1">
      <w:pPr>
        <w:pStyle w:val="Chart"/>
      </w:pPr>
      <w:r w:rsidRPr="00BB3D77">
        <w:t xml:space="preserve">Table </w:t>
      </w:r>
      <w:r w:rsidR="00F4140C">
        <w:fldChar w:fldCharType="begin"/>
      </w:r>
      <w:r w:rsidR="00F4140C">
        <w:instrText xml:space="preserve"> SEQ Table \* ARABIC </w:instrText>
      </w:r>
      <w:r w:rsidR="00F4140C">
        <w:fldChar w:fldCharType="separate"/>
      </w:r>
      <w:r w:rsidR="00220F3D">
        <w:rPr>
          <w:noProof/>
        </w:rPr>
        <w:t>3</w:t>
      </w:r>
      <w:r w:rsidR="00F4140C">
        <w:rPr>
          <w:noProof/>
        </w:rPr>
        <w:fldChar w:fldCharType="end"/>
      </w:r>
      <w:r w:rsidRPr="00BB3D77">
        <w:t xml:space="preserve">: </w:t>
      </w:r>
    </w:p>
    <w:p w14:paraId="5310FA2F" w14:textId="08569DE1" w:rsidR="002049E1" w:rsidRPr="00BB3D77" w:rsidRDefault="002049E1" w:rsidP="002049E1">
      <w:pPr>
        <w:pStyle w:val="Chart"/>
        <w:rPr>
          <w:noProof/>
        </w:rPr>
      </w:pPr>
      <w:r w:rsidRPr="00BB3D77">
        <w:t xml:space="preserve">Concentration of direct FTEs linked to </w:t>
      </w:r>
      <w:r w:rsidR="006E748D">
        <w:t>IFI</w:t>
      </w:r>
      <w:r w:rsidRPr="00BB3D77">
        <w:t>-driven investments over 2016-2021, by their mean employment income group and related industries</w:t>
      </w:r>
      <w:r w:rsidRPr="00BB3D77">
        <w:rPr>
          <w:noProof/>
        </w:rPr>
        <w:t xml:space="preserve"> </w:t>
      </w:r>
    </w:p>
    <w:p w14:paraId="4D5AB03E" w14:textId="77777777" w:rsidR="002049E1" w:rsidRPr="00BB3D77" w:rsidRDefault="002049E1" w:rsidP="002049E1">
      <w:pPr>
        <w:pStyle w:val="Chart"/>
      </w:pPr>
    </w:p>
    <w:tbl>
      <w:tblPr>
        <w:tblStyle w:val="LightShading-Accent11"/>
        <w:tblW w:w="0" w:type="auto"/>
        <w:jc w:val="center"/>
        <w:tblLook w:val="04A0" w:firstRow="1" w:lastRow="0" w:firstColumn="1" w:lastColumn="0" w:noHBand="0" w:noVBand="1"/>
      </w:tblPr>
      <w:tblGrid>
        <w:gridCol w:w="2467"/>
        <w:gridCol w:w="2379"/>
        <w:gridCol w:w="1998"/>
        <w:gridCol w:w="2506"/>
      </w:tblGrid>
      <w:tr w:rsidR="002049E1" w:rsidRPr="00BB3D77" w14:paraId="2A29E0F7" w14:textId="77777777" w:rsidTr="00D016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7" w:type="dxa"/>
          </w:tcPr>
          <w:p w14:paraId="2B282C31" w14:textId="77777777" w:rsidR="002049E1" w:rsidRPr="00BB3D77" w:rsidRDefault="002049E1" w:rsidP="00D01620">
            <w:pPr>
              <w:pStyle w:val="Body"/>
              <w:rPr>
                <w:color w:val="auto"/>
              </w:rPr>
            </w:pPr>
            <w:r w:rsidRPr="00BB3D77">
              <w:rPr>
                <w:color w:val="auto"/>
              </w:rPr>
              <w:t xml:space="preserve">Mean annual employment income (grouped) </w:t>
            </w:r>
          </w:p>
        </w:tc>
        <w:tc>
          <w:tcPr>
            <w:tcW w:w="2379" w:type="dxa"/>
          </w:tcPr>
          <w:p w14:paraId="3F341C55" w14:textId="77777777" w:rsidR="002049E1" w:rsidRPr="00BB3D77" w:rsidRDefault="002049E1" w:rsidP="00D01620">
            <w:pPr>
              <w:pStyle w:val="Body"/>
              <w:cnfStyle w:val="100000000000" w:firstRow="1" w:lastRow="0" w:firstColumn="0" w:lastColumn="0" w:oddVBand="0" w:evenVBand="0" w:oddHBand="0" w:evenHBand="0" w:firstRowFirstColumn="0" w:firstRowLastColumn="0" w:lastRowFirstColumn="0" w:lastRowLastColumn="0"/>
              <w:rPr>
                <w:color w:val="auto"/>
              </w:rPr>
            </w:pPr>
            <w:r w:rsidRPr="00BB3D77">
              <w:rPr>
                <w:color w:val="auto"/>
              </w:rPr>
              <w:t>Number and proportion of industries in NACCA dataset</w:t>
            </w:r>
          </w:p>
        </w:tc>
        <w:tc>
          <w:tcPr>
            <w:tcW w:w="1998" w:type="dxa"/>
          </w:tcPr>
          <w:p w14:paraId="4D2FBC20" w14:textId="7FF7B110" w:rsidR="002049E1" w:rsidRPr="00BB3D77" w:rsidRDefault="002049E1" w:rsidP="00D01620">
            <w:pPr>
              <w:pStyle w:val="Body"/>
              <w:cnfStyle w:val="100000000000" w:firstRow="1" w:lastRow="0" w:firstColumn="0" w:lastColumn="0" w:oddVBand="0" w:evenVBand="0" w:oddHBand="0" w:evenHBand="0" w:firstRowFirstColumn="0" w:firstRowLastColumn="0" w:lastRowFirstColumn="0" w:lastRowLastColumn="0"/>
              <w:rPr>
                <w:color w:val="auto"/>
              </w:rPr>
            </w:pPr>
            <w:r w:rsidRPr="00BB3D77">
              <w:rPr>
                <w:color w:val="auto"/>
              </w:rPr>
              <w:t xml:space="preserve">Direct FTE jobs created by </w:t>
            </w:r>
            <w:r w:rsidR="006E748D">
              <w:rPr>
                <w:color w:val="auto"/>
              </w:rPr>
              <w:t>IFI</w:t>
            </w:r>
            <w:r w:rsidRPr="00BB3D77">
              <w:rPr>
                <w:color w:val="auto"/>
              </w:rPr>
              <w:t>-driven investments (2016-2021)</w:t>
            </w:r>
          </w:p>
        </w:tc>
        <w:tc>
          <w:tcPr>
            <w:tcW w:w="2506" w:type="dxa"/>
          </w:tcPr>
          <w:p w14:paraId="3B50E9E6" w14:textId="77777777" w:rsidR="002049E1" w:rsidRPr="00BB3D77" w:rsidRDefault="002049E1" w:rsidP="00D01620">
            <w:pPr>
              <w:pStyle w:val="Body"/>
              <w:cnfStyle w:val="100000000000" w:firstRow="1" w:lastRow="0" w:firstColumn="0" w:lastColumn="0" w:oddVBand="0" w:evenVBand="0" w:oddHBand="0" w:evenHBand="0" w:firstRowFirstColumn="0" w:firstRowLastColumn="0" w:lastRowFirstColumn="0" w:lastRowLastColumn="0"/>
              <w:rPr>
                <w:b w:val="0"/>
                <w:bCs w:val="0"/>
                <w:color w:val="auto"/>
              </w:rPr>
            </w:pPr>
            <w:r w:rsidRPr="00BB3D77">
              <w:rPr>
                <w:color w:val="auto"/>
              </w:rPr>
              <w:t>Example industry group</w:t>
            </w:r>
          </w:p>
        </w:tc>
      </w:tr>
      <w:tr w:rsidR="002049E1" w:rsidRPr="00BB3D77" w14:paraId="728E7D44" w14:textId="77777777" w:rsidTr="00D016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7" w:type="dxa"/>
          </w:tcPr>
          <w:p w14:paraId="23A8375A" w14:textId="77777777" w:rsidR="002049E1" w:rsidRPr="00BB3D77" w:rsidRDefault="002049E1" w:rsidP="00D01620">
            <w:pPr>
              <w:pStyle w:val="Body"/>
              <w:rPr>
                <w:color w:val="auto"/>
              </w:rPr>
            </w:pPr>
            <w:r w:rsidRPr="00BB3D77">
              <w:rPr>
                <w:color w:val="auto"/>
              </w:rPr>
              <w:t>$10,000 to $19,999</w:t>
            </w:r>
          </w:p>
        </w:tc>
        <w:tc>
          <w:tcPr>
            <w:tcW w:w="2379" w:type="dxa"/>
          </w:tcPr>
          <w:p w14:paraId="07604673" w14:textId="77777777" w:rsidR="002049E1" w:rsidRPr="00BB3D77" w:rsidRDefault="002049E1" w:rsidP="00D01620">
            <w:pPr>
              <w:pStyle w:val="Body"/>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1 (&lt;1%)</w:t>
            </w:r>
          </w:p>
        </w:tc>
        <w:tc>
          <w:tcPr>
            <w:tcW w:w="1998" w:type="dxa"/>
          </w:tcPr>
          <w:p w14:paraId="137B5996" w14:textId="77777777" w:rsidR="002049E1" w:rsidRPr="00BB3D77" w:rsidRDefault="002049E1" w:rsidP="00D01620">
            <w:pPr>
              <w:pStyle w:val="Body"/>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325 (4.3%)</w:t>
            </w:r>
          </w:p>
        </w:tc>
        <w:tc>
          <w:tcPr>
            <w:tcW w:w="2506" w:type="dxa"/>
          </w:tcPr>
          <w:p w14:paraId="7E287E9E" w14:textId="77777777" w:rsidR="002049E1" w:rsidRPr="00BB3D77" w:rsidRDefault="002049E1" w:rsidP="00D01620">
            <w:pPr>
              <w:pStyle w:val="Body"/>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Personal care services</w:t>
            </w:r>
          </w:p>
        </w:tc>
      </w:tr>
      <w:tr w:rsidR="002049E1" w:rsidRPr="00BB3D77" w14:paraId="33A219B6" w14:textId="77777777" w:rsidTr="00D01620">
        <w:trPr>
          <w:jc w:val="center"/>
        </w:trPr>
        <w:tc>
          <w:tcPr>
            <w:cnfStyle w:val="001000000000" w:firstRow="0" w:lastRow="0" w:firstColumn="1" w:lastColumn="0" w:oddVBand="0" w:evenVBand="0" w:oddHBand="0" w:evenHBand="0" w:firstRowFirstColumn="0" w:firstRowLastColumn="0" w:lastRowFirstColumn="0" w:lastRowLastColumn="0"/>
            <w:tcW w:w="2467" w:type="dxa"/>
          </w:tcPr>
          <w:p w14:paraId="5F687BEF" w14:textId="77777777" w:rsidR="002049E1" w:rsidRPr="00BB3D77" w:rsidRDefault="002049E1" w:rsidP="00D01620">
            <w:pPr>
              <w:pStyle w:val="Body"/>
              <w:rPr>
                <w:color w:val="auto"/>
              </w:rPr>
            </w:pPr>
            <w:r w:rsidRPr="00BB3D77">
              <w:rPr>
                <w:color w:val="auto"/>
              </w:rPr>
              <w:t>$20,000 to $29,999</w:t>
            </w:r>
          </w:p>
        </w:tc>
        <w:tc>
          <w:tcPr>
            <w:tcW w:w="2379" w:type="dxa"/>
          </w:tcPr>
          <w:p w14:paraId="46675EC2" w14:textId="77777777" w:rsidR="002049E1" w:rsidRPr="00BB3D77" w:rsidRDefault="002049E1" w:rsidP="00D01620">
            <w:pPr>
              <w:pStyle w:val="Body"/>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15 (10%)</w:t>
            </w:r>
          </w:p>
        </w:tc>
        <w:tc>
          <w:tcPr>
            <w:tcW w:w="1998" w:type="dxa"/>
          </w:tcPr>
          <w:p w14:paraId="06AB17A4" w14:textId="77777777" w:rsidR="002049E1" w:rsidRPr="00BB3D77" w:rsidRDefault="002049E1" w:rsidP="00D01620">
            <w:pPr>
              <w:pStyle w:val="Body"/>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4011 (53.5%)</w:t>
            </w:r>
          </w:p>
        </w:tc>
        <w:tc>
          <w:tcPr>
            <w:tcW w:w="2506" w:type="dxa"/>
          </w:tcPr>
          <w:p w14:paraId="6CB695EA" w14:textId="77777777" w:rsidR="002049E1" w:rsidRPr="00BB3D77" w:rsidRDefault="002049E1" w:rsidP="00D01620">
            <w:pPr>
              <w:pStyle w:val="Body"/>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Food services, Gas stations, General merchandise stores</w:t>
            </w:r>
          </w:p>
        </w:tc>
      </w:tr>
      <w:tr w:rsidR="002049E1" w:rsidRPr="00BB3D77" w14:paraId="00057660" w14:textId="77777777" w:rsidTr="00D016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7" w:type="dxa"/>
          </w:tcPr>
          <w:p w14:paraId="6CC11D94" w14:textId="77777777" w:rsidR="002049E1" w:rsidRPr="00BB3D77" w:rsidRDefault="002049E1" w:rsidP="00D01620">
            <w:pPr>
              <w:pStyle w:val="Body"/>
              <w:rPr>
                <w:color w:val="auto"/>
              </w:rPr>
            </w:pPr>
            <w:r w:rsidRPr="00BB3D77">
              <w:rPr>
                <w:color w:val="auto"/>
              </w:rPr>
              <w:t>$30,000 to $39,999</w:t>
            </w:r>
          </w:p>
        </w:tc>
        <w:tc>
          <w:tcPr>
            <w:tcW w:w="2379" w:type="dxa"/>
          </w:tcPr>
          <w:p w14:paraId="47989506" w14:textId="77777777" w:rsidR="002049E1" w:rsidRPr="00BB3D77" w:rsidRDefault="002049E1" w:rsidP="00D01620">
            <w:pPr>
              <w:pStyle w:val="Body"/>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12 (8%)</w:t>
            </w:r>
          </w:p>
        </w:tc>
        <w:tc>
          <w:tcPr>
            <w:tcW w:w="1998" w:type="dxa"/>
          </w:tcPr>
          <w:p w14:paraId="4399F480" w14:textId="77777777" w:rsidR="002049E1" w:rsidRPr="00BB3D77" w:rsidRDefault="002049E1" w:rsidP="00D01620">
            <w:pPr>
              <w:pStyle w:val="Body"/>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1162 (15.5%)</w:t>
            </w:r>
          </w:p>
        </w:tc>
        <w:tc>
          <w:tcPr>
            <w:tcW w:w="2506" w:type="dxa"/>
          </w:tcPr>
          <w:p w14:paraId="0445ACDE" w14:textId="77777777" w:rsidR="002049E1" w:rsidRPr="00BB3D77" w:rsidRDefault="002049E1" w:rsidP="00D01620">
            <w:pPr>
              <w:pStyle w:val="Body"/>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Traveller accommodation, Performing arts and Heritage institutions</w:t>
            </w:r>
          </w:p>
        </w:tc>
      </w:tr>
      <w:tr w:rsidR="002049E1" w:rsidRPr="00BB3D77" w14:paraId="1E4E5399" w14:textId="77777777" w:rsidTr="00D01620">
        <w:trPr>
          <w:jc w:val="center"/>
        </w:trPr>
        <w:tc>
          <w:tcPr>
            <w:cnfStyle w:val="001000000000" w:firstRow="0" w:lastRow="0" w:firstColumn="1" w:lastColumn="0" w:oddVBand="0" w:evenVBand="0" w:oddHBand="0" w:evenHBand="0" w:firstRowFirstColumn="0" w:firstRowLastColumn="0" w:lastRowFirstColumn="0" w:lastRowLastColumn="0"/>
            <w:tcW w:w="2467" w:type="dxa"/>
          </w:tcPr>
          <w:p w14:paraId="6C9AFD6A" w14:textId="77777777" w:rsidR="002049E1" w:rsidRPr="00BB3D77" w:rsidRDefault="002049E1" w:rsidP="00D01620">
            <w:pPr>
              <w:pStyle w:val="Body"/>
              <w:rPr>
                <w:color w:val="auto"/>
              </w:rPr>
            </w:pPr>
            <w:r w:rsidRPr="00BB3D77">
              <w:rPr>
                <w:color w:val="auto"/>
              </w:rPr>
              <w:t>$40,000 to $49,999</w:t>
            </w:r>
          </w:p>
        </w:tc>
        <w:tc>
          <w:tcPr>
            <w:tcW w:w="2379" w:type="dxa"/>
          </w:tcPr>
          <w:p w14:paraId="10F8C2B9" w14:textId="77777777" w:rsidR="002049E1" w:rsidRPr="00BB3D77" w:rsidRDefault="002049E1" w:rsidP="00D01620">
            <w:pPr>
              <w:pStyle w:val="Body"/>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18 (12%)</w:t>
            </w:r>
          </w:p>
        </w:tc>
        <w:tc>
          <w:tcPr>
            <w:tcW w:w="1998" w:type="dxa"/>
          </w:tcPr>
          <w:p w14:paraId="3252F42C" w14:textId="77777777" w:rsidR="002049E1" w:rsidRPr="00BB3D77" w:rsidRDefault="002049E1" w:rsidP="00D01620">
            <w:pPr>
              <w:pStyle w:val="Body"/>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737 (9.8%)</w:t>
            </w:r>
          </w:p>
        </w:tc>
        <w:tc>
          <w:tcPr>
            <w:tcW w:w="2506" w:type="dxa"/>
          </w:tcPr>
          <w:p w14:paraId="336E01F8" w14:textId="77777777" w:rsidR="002049E1" w:rsidRPr="00BB3D77" w:rsidRDefault="002049E1" w:rsidP="00D01620">
            <w:pPr>
              <w:pStyle w:val="Body"/>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Automotive repair, Gambling industries, Seafood product preparation</w:t>
            </w:r>
          </w:p>
        </w:tc>
      </w:tr>
      <w:tr w:rsidR="002049E1" w:rsidRPr="00BB3D77" w14:paraId="3572B0FF" w14:textId="77777777" w:rsidTr="00D016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7" w:type="dxa"/>
          </w:tcPr>
          <w:p w14:paraId="3DE9D984" w14:textId="77777777" w:rsidR="002049E1" w:rsidRPr="00BB3D77" w:rsidRDefault="002049E1" w:rsidP="00D01620">
            <w:pPr>
              <w:pStyle w:val="Body"/>
              <w:rPr>
                <w:color w:val="auto"/>
              </w:rPr>
            </w:pPr>
            <w:r w:rsidRPr="00BB3D77">
              <w:rPr>
                <w:color w:val="auto"/>
              </w:rPr>
              <w:t>$50,000 to $69,999</w:t>
            </w:r>
          </w:p>
        </w:tc>
        <w:tc>
          <w:tcPr>
            <w:tcW w:w="2379" w:type="dxa"/>
          </w:tcPr>
          <w:p w14:paraId="4F4A7AFD" w14:textId="77777777" w:rsidR="002049E1" w:rsidRPr="00BB3D77" w:rsidRDefault="002049E1" w:rsidP="00D01620">
            <w:pPr>
              <w:pStyle w:val="Body"/>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48 (33%)</w:t>
            </w:r>
          </w:p>
        </w:tc>
        <w:tc>
          <w:tcPr>
            <w:tcW w:w="1998" w:type="dxa"/>
          </w:tcPr>
          <w:p w14:paraId="775D142C" w14:textId="77777777" w:rsidR="002049E1" w:rsidRPr="00BB3D77" w:rsidRDefault="002049E1" w:rsidP="00D01620">
            <w:pPr>
              <w:pStyle w:val="Body"/>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863 (11.5%)</w:t>
            </w:r>
          </w:p>
        </w:tc>
        <w:tc>
          <w:tcPr>
            <w:tcW w:w="2506" w:type="dxa"/>
          </w:tcPr>
          <w:p w14:paraId="48DBDB23" w14:textId="77777777" w:rsidR="002049E1" w:rsidRPr="00BB3D77" w:rsidRDefault="002049E1" w:rsidP="00D01620">
            <w:pPr>
              <w:pStyle w:val="Body"/>
              <w:cnfStyle w:val="000000100000" w:firstRow="0" w:lastRow="0" w:firstColumn="0" w:lastColumn="0" w:oddVBand="0" w:evenVBand="0" w:oddHBand="1" w:evenHBand="0" w:firstRowFirstColumn="0" w:firstRowLastColumn="0" w:lastRowFirstColumn="0" w:lastRowLastColumn="0"/>
              <w:rPr>
                <w:color w:val="auto"/>
              </w:rPr>
            </w:pPr>
            <w:r w:rsidRPr="00BB3D77">
              <w:rPr>
                <w:color w:val="auto"/>
              </w:rPr>
              <w:t>Accounting, truck transportation, Residential building construction</w:t>
            </w:r>
          </w:p>
        </w:tc>
      </w:tr>
      <w:tr w:rsidR="002049E1" w:rsidRPr="00BB3D77" w14:paraId="1E6660AF" w14:textId="77777777" w:rsidTr="00D01620">
        <w:trPr>
          <w:jc w:val="center"/>
        </w:trPr>
        <w:tc>
          <w:tcPr>
            <w:cnfStyle w:val="001000000000" w:firstRow="0" w:lastRow="0" w:firstColumn="1" w:lastColumn="0" w:oddVBand="0" w:evenVBand="0" w:oddHBand="0" w:evenHBand="0" w:firstRowFirstColumn="0" w:firstRowLastColumn="0" w:lastRowFirstColumn="0" w:lastRowLastColumn="0"/>
            <w:tcW w:w="2467" w:type="dxa"/>
          </w:tcPr>
          <w:p w14:paraId="0BFCF3F7" w14:textId="77777777" w:rsidR="002049E1" w:rsidRPr="00BB3D77" w:rsidRDefault="002049E1" w:rsidP="00D01620">
            <w:pPr>
              <w:pStyle w:val="Body"/>
              <w:rPr>
                <w:color w:val="auto"/>
              </w:rPr>
            </w:pPr>
            <w:r w:rsidRPr="00BB3D77">
              <w:rPr>
                <w:color w:val="auto"/>
              </w:rPr>
              <w:t>$70,000 and over</w:t>
            </w:r>
          </w:p>
        </w:tc>
        <w:tc>
          <w:tcPr>
            <w:tcW w:w="2379" w:type="dxa"/>
          </w:tcPr>
          <w:p w14:paraId="02280F98" w14:textId="77777777" w:rsidR="002049E1" w:rsidRPr="00BB3D77" w:rsidRDefault="002049E1" w:rsidP="00D01620">
            <w:pPr>
              <w:pStyle w:val="Body"/>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52 (36%)</w:t>
            </w:r>
          </w:p>
        </w:tc>
        <w:tc>
          <w:tcPr>
            <w:tcW w:w="1998" w:type="dxa"/>
          </w:tcPr>
          <w:p w14:paraId="55EAEAEC" w14:textId="77777777" w:rsidR="002049E1" w:rsidRPr="00BB3D77" w:rsidRDefault="002049E1" w:rsidP="00D01620">
            <w:pPr>
              <w:pStyle w:val="Body"/>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397 (5.3%)</w:t>
            </w:r>
          </w:p>
        </w:tc>
        <w:tc>
          <w:tcPr>
            <w:tcW w:w="2506" w:type="dxa"/>
          </w:tcPr>
          <w:p w14:paraId="30433C20" w14:textId="77777777" w:rsidR="002049E1" w:rsidRPr="00BB3D77" w:rsidRDefault="002049E1" w:rsidP="00D01620">
            <w:pPr>
              <w:pStyle w:val="Body"/>
              <w:cnfStyle w:val="000000000000" w:firstRow="0" w:lastRow="0" w:firstColumn="0" w:lastColumn="0" w:oddVBand="0" w:evenVBand="0" w:oddHBand="0" w:evenHBand="0" w:firstRowFirstColumn="0" w:firstRowLastColumn="0" w:lastRowFirstColumn="0" w:lastRowLastColumn="0"/>
              <w:rPr>
                <w:color w:val="auto"/>
              </w:rPr>
            </w:pPr>
            <w:r w:rsidRPr="00BB3D77">
              <w:rPr>
                <w:color w:val="auto"/>
              </w:rPr>
              <w:t>Forestry and logging, Support activities for mining and oil and gas</w:t>
            </w:r>
          </w:p>
        </w:tc>
      </w:tr>
      <w:tr w:rsidR="002049E1" w:rsidRPr="00BB3D77" w14:paraId="39EDD921" w14:textId="77777777" w:rsidTr="00D016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7" w:type="dxa"/>
          </w:tcPr>
          <w:p w14:paraId="5897D0DF" w14:textId="77777777" w:rsidR="002049E1" w:rsidRPr="00BB3D77" w:rsidRDefault="002049E1" w:rsidP="00D01620">
            <w:pPr>
              <w:pStyle w:val="Body"/>
            </w:pPr>
          </w:p>
        </w:tc>
        <w:tc>
          <w:tcPr>
            <w:tcW w:w="2379" w:type="dxa"/>
          </w:tcPr>
          <w:p w14:paraId="5334D6CC" w14:textId="77777777" w:rsidR="002049E1" w:rsidRPr="00BB3D77" w:rsidRDefault="002049E1" w:rsidP="00D01620">
            <w:pPr>
              <w:pStyle w:val="Body"/>
              <w:cnfStyle w:val="000000100000" w:firstRow="0" w:lastRow="0" w:firstColumn="0" w:lastColumn="0" w:oddVBand="0" w:evenVBand="0" w:oddHBand="1" w:evenHBand="0" w:firstRowFirstColumn="0" w:firstRowLastColumn="0" w:lastRowFirstColumn="0" w:lastRowLastColumn="0"/>
            </w:pPr>
            <w:r w:rsidRPr="00BB3D77">
              <w:t>146 industry groups</w:t>
            </w:r>
          </w:p>
        </w:tc>
        <w:tc>
          <w:tcPr>
            <w:tcW w:w="1998" w:type="dxa"/>
          </w:tcPr>
          <w:p w14:paraId="2D213D82" w14:textId="77777777" w:rsidR="002049E1" w:rsidRPr="00BB3D77" w:rsidRDefault="002049E1" w:rsidP="00D01620">
            <w:pPr>
              <w:pStyle w:val="Body"/>
              <w:cnfStyle w:val="000000100000" w:firstRow="0" w:lastRow="0" w:firstColumn="0" w:lastColumn="0" w:oddVBand="0" w:evenVBand="0" w:oddHBand="1" w:evenHBand="0" w:firstRowFirstColumn="0" w:firstRowLastColumn="0" w:lastRowFirstColumn="0" w:lastRowLastColumn="0"/>
            </w:pPr>
            <w:r w:rsidRPr="00BB3D77">
              <w:t>7,494 direct FTEs</w:t>
            </w:r>
          </w:p>
        </w:tc>
        <w:tc>
          <w:tcPr>
            <w:tcW w:w="2506" w:type="dxa"/>
          </w:tcPr>
          <w:p w14:paraId="6F415F31" w14:textId="77777777" w:rsidR="002049E1" w:rsidRPr="00BB3D77" w:rsidRDefault="002049E1" w:rsidP="00D01620">
            <w:pPr>
              <w:pStyle w:val="Body"/>
              <w:cnfStyle w:val="000000100000" w:firstRow="0" w:lastRow="0" w:firstColumn="0" w:lastColumn="0" w:oddVBand="0" w:evenVBand="0" w:oddHBand="1" w:evenHBand="0" w:firstRowFirstColumn="0" w:firstRowLastColumn="0" w:lastRowFirstColumn="0" w:lastRowLastColumn="0"/>
            </w:pPr>
          </w:p>
        </w:tc>
      </w:tr>
    </w:tbl>
    <w:p w14:paraId="74AFAA6A" w14:textId="77777777" w:rsidR="002049E1" w:rsidRPr="00BB3D77" w:rsidRDefault="002049E1" w:rsidP="002049E1">
      <w:pPr>
        <w:pStyle w:val="Body"/>
        <w:spacing w:before="240"/>
        <w:rPr>
          <w:rStyle w:val="ChartSourceChar"/>
        </w:rPr>
      </w:pPr>
      <w:r w:rsidRPr="00BB3D77">
        <w:rPr>
          <w:rStyle w:val="ChartSourceChar"/>
        </w:rPr>
        <w:t>Source: NACCA, The Conference Board of Canada</w:t>
      </w:r>
    </w:p>
    <w:p w14:paraId="43172A43" w14:textId="1E0A7C8C" w:rsidR="002109D4" w:rsidRPr="00BB3D77" w:rsidRDefault="002049E1" w:rsidP="002049E1">
      <w:pPr>
        <w:pStyle w:val="Body"/>
        <w:spacing w:before="360"/>
      </w:pPr>
      <w:r w:rsidRPr="00BB3D77">
        <w:lastRenderedPageBreak/>
        <w:t>The past two censuses in Canada have revealed an $8,000 (2021) to $10,000 (2016) gap between the mean employment incomes of Indigenous and non-Indigenous workers. The National Indigenous Economic Development Board estimates that closing such gaps and levelling the playing field for Indigenous workers could create up to $6.9 billion in annual income earned by the Indigenous workforce across Canada.</w:t>
      </w:r>
      <w:r w:rsidRPr="00BB3D77">
        <w:rPr>
          <w:rStyle w:val="FootnoteReference"/>
        </w:rPr>
        <w:footnoteReference w:id="31"/>
      </w:r>
      <w:r w:rsidRPr="00BB3D77">
        <w:t xml:space="preserve"> In NIEDB’s model, a level playing field through full employment and equalization of economic opportunities for Indigenous peoples could also add an additional $27.7 billion to Canada’s annual gross domestic product.</w:t>
      </w:r>
      <w:r w:rsidRPr="00BB3D77">
        <w:rPr>
          <w:rStyle w:val="FootnoteReference"/>
        </w:rPr>
        <w:footnoteReference w:id="32"/>
      </w:r>
      <w:r w:rsidRPr="00BB3D77">
        <w:t xml:space="preserve"> Our modeling suggests that raising the labour incomes of Indigenous workers creates positive social impacts for Indigenous households and families. As part of the solution, </w:t>
      </w:r>
      <w:r w:rsidR="006E748D">
        <w:t>IFI</w:t>
      </w:r>
      <w:r w:rsidRPr="00BB3D77">
        <w:t>s can work with their client businesses, community partners, and allies to create labour market opportunities in higher value industries.</w:t>
      </w:r>
    </w:p>
    <w:p w14:paraId="0765DB9A" w14:textId="7FFBCF09" w:rsidR="008A45B3" w:rsidRPr="00BB3D77" w:rsidRDefault="00996AEF" w:rsidP="006D5DBC">
      <w:pPr>
        <w:pStyle w:val="Body"/>
      </w:pPr>
      <w:r w:rsidRPr="00BB3D77">
        <w:t xml:space="preserve">The </w:t>
      </w:r>
      <w:r w:rsidR="001A3B13" w:rsidRPr="00BB3D77">
        <w:t>highest</w:t>
      </w:r>
      <w:r w:rsidRPr="00BB3D77">
        <w:t xml:space="preserve"> </w:t>
      </w:r>
      <w:r w:rsidR="00127AE3" w:rsidRPr="00BB3D77">
        <w:t xml:space="preserve">average </w:t>
      </w:r>
      <w:r w:rsidRPr="00BB3D77">
        <w:t xml:space="preserve">paying jobs </w:t>
      </w:r>
      <w:r w:rsidR="007B6502" w:rsidRPr="00BB3D77">
        <w:t>that</w:t>
      </w:r>
      <w:r w:rsidRPr="00BB3D77">
        <w:t xml:space="preserve"> </w:t>
      </w:r>
      <w:r w:rsidR="006E748D">
        <w:t>IFI</w:t>
      </w:r>
      <w:r w:rsidR="00D859EB" w:rsidRPr="00BB3D77">
        <w:t xml:space="preserve"> directed </w:t>
      </w:r>
      <w:r w:rsidRPr="00BB3D77">
        <w:t xml:space="preserve">investments </w:t>
      </w:r>
      <w:r w:rsidR="00D859EB" w:rsidRPr="00BB3D77">
        <w:t>help</w:t>
      </w:r>
      <w:r w:rsidR="00B51C76" w:rsidRPr="00BB3D77">
        <w:t>ed</w:t>
      </w:r>
      <w:r w:rsidR="00D859EB" w:rsidRPr="00BB3D77">
        <w:t xml:space="preserve"> to </w:t>
      </w:r>
      <w:r w:rsidR="00B51C76" w:rsidRPr="00BB3D77">
        <w:t>create</w:t>
      </w:r>
      <w:r w:rsidR="00D859EB" w:rsidRPr="00BB3D77">
        <w:t xml:space="preserve"> </w:t>
      </w:r>
      <w:r w:rsidR="00B51C76" w:rsidRPr="00BB3D77">
        <w:t xml:space="preserve">from 2016 to 2021 </w:t>
      </w:r>
      <w:r w:rsidR="00D859EB" w:rsidRPr="00BB3D77">
        <w:t xml:space="preserve">all </w:t>
      </w:r>
      <w:r w:rsidRPr="00BB3D77">
        <w:t>in</w:t>
      </w:r>
      <w:r w:rsidR="0098610C" w:rsidRPr="00BB3D77">
        <w:t>volved</w:t>
      </w:r>
      <w:r w:rsidRPr="00BB3D77">
        <w:t xml:space="preserve"> natural resource sectors </w:t>
      </w:r>
      <w:r w:rsidR="007B6502" w:rsidRPr="00BB3D77">
        <w:t xml:space="preserve">and utilities </w:t>
      </w:r>
      <w:r w:rsidR="00D859EB" w:rsidRPr="00BB3D77">
        <w:t>including</w:t>
      </w:r>
      <w:r w:rsidRPr="00BB3D77">
        <w:t xml:space="preserve"> mining, oil and gas, and hydro generation.</w:t>
      </w:r>
      <w:r w:rsidR="00127AE3" w:rsidRPr="00BB3D77">
        <w:t xml:space="preserve"> </w:t>
      </w:r>
      <w:r w:rsidRPr="00BB3D77">
        <w:t xml:space="preserve">Not surprisingly, </w:t>
      </w:r>
      <w:r w:rsidR="006E748D">
        <w:t>IFI</w:t>
      </w:r>
      <w:r w:rsidR="007C2374" w:rsidRPr="00BB3D77">
        <w:t>s</w:t>
      </w:r>
      <w:r w:rsidRPr="00BB3D77">
        <w:t xml:space="preserve"> are working with client communities to increase their participation </w:t>
      </w:r>
      <w:r w:rsidR="001A3B13" w:rsidRPr="00BB3D77">
        <w:t xml:space="preserve">in </w:t>
      </w:r>
      <w:r w:rsidRPr="00BB3D77">
        <w:t xml:space="preserve">and influence over these </w:t>
      </w:r>
      <w:r w:rsidR="006946FF" w:rsidRPr="00BB3D77">
        <w:t xml:space="preserve">economic </w:t>
      </w:r>
      <w:r w:rsidRPr="00BB3D77">
        <w:t>sectors</w:t>
      </w:r>
      <w:r w:rsidR="00DE408D" w:rsidRPr="00BB3D77">
        <w:t xml:space="preserve"> and their supply chains</w:t>
      </w:r>
      <w:r w:rsidRPr="00BB3D77">
        <w:t xml:space="preserve">. </w:t>
      </w:r>
      <w:r w:rsidR="001A3B13" w:rsidRPr="00BB3D77">
        <w:t xml:space="preserve">In Northeastern Ontario, First Nations directed their regional </w:t>
      </w:r>
      <w:r w:rsidR="006E748D">
        <w:t>IFI</w:t>
      </w:r>
      <w:r w:rsidR="001A3B13" w:rsidRPr="00BB3D77">
        <w:t xml:space="preserve">, </w:t>
      </w:r>
      <w:r w:rsidRPr="00BB3D77">
        <w:t>Waubetek</w:t>
      </w:r>
      <w:r w:rsidR="001A3B13" w:rsidRPr="00BB3D77">
        <w:t>, to develop an Aboriginal Mining Strategy.</w:t>
      </w:r>
      <w:r w:rsidR="00597373" w:rsidRPr="00BB3D77">
        <w:rPr>
          <w:rStyle w:val="FootnoteReference"/>
        </w:rPr>
        <w:footnoteReference w:id="33"/>
      </w:r>
      <w:r w:rsidR="001A3B13" w:rsidRPr="00BB3D77">
        <w:t xml:space="preserve">  The resulting Aboriginal Mining Initiative sets out to help Indigenous businesses participate in the </w:t>
      </w:r>
      <w:r w:rsidR="007B6502" w:rsidRPr="00BB3D77">
        <w:t xml:space="preserve">region’s </w:t>
      </w:r>
      <w:r w:rsidR="001A3B13" w:rsidRPr="00BB3D77">
        <w:t xml:space="preserve">mining sector supply chain, and help </w:t>
      </w:r>
      <w:r w:rsidR="00AF5C1F" w:rsidRPr="00BB3D77">
        <w:t xml:space="preserve">local Indigenous communities </w:t>
      </w:r>
      <w:r w:rsidR="00DE408D" w:rsidRPr="00BB3D77">
        <w:t>create</w:t>
      </w:r>
      <w:r w:rsidR="00AF5C1F" w:rsidRPr="00BB3D77">
        <w:t xml:space="preserve"> a “mining-ready labour force”.</w:t>
      </w:r>
      <w:r w:rsidR="00597373" w:rsidRPr="00BB3D77">
        <w:rPr>
          <w:rStyle w:val="FootnoteReference"/>
        </w:rPr>
        <w:footnoteReference w:id="34"/>
      </w:r>
      <w:r w:rsidR="00AF5C1F" w:rsidRPr="00BB3D77">
        <w:t xml:space="preserve">  At the same time, Waubetek and its stakeholders are working with mining industry partners to establish successful ventures and processes for meaningful engagement. In 2020, Waubetek signed an agreement with Laurentian University to cooperate on a Centre of Excellence for Indigenous Minerals Development.</w:t>
      </w:r>
      <w:r w:rsidR="00CD56E8" w:rsidRPr="00BB3D77">
        <w:rPr>
          <w:rStyle w:val="FootnoteReference"/>
        </w:rPr>
        <w:footnoteReference w:id="35"/>
      </w:r>
      <w:r w:rsidR="00AF5C1F" w:rsidRPr="00BB3D77">
        <w:t xml:space="preserve"> </w:t>
      </w:r>
      <w:r w:rsidR="007B6502" w:rsidRPr="00BB3D77">
        <w:t>In November 2020, Rio Tinto, the world’s second largest metals and mining corporation, announced it would commit $1 million over five years to the centre which will serve as a “clearinghouse of information on best practices related to consultation with Indigenous peoples in advance of mineral exploration and development”.</w:t>
      </w:r>
      <w:r w:rsidR="00CD56E8" w:rsidRPr="00BB3D77">
        <w:rPr>
          <w:rStyle w:val="FootnoteReference"/>
        </w:rPr>
        <w:footnoteReference w:id="36"/>
      </w:r>
      <w:r w:rsidR="005051DB" w:rsidRPr="00BB3D77">
        <w:t xml:space="preserve"> </w:t>
      </w:r>
    </w:p>
    <w:p w14:paraId="442D3BAB" w14:textId="7BFE8E6C" w:rsidR="00CD56E8" w:rsidRPr="00BB3D77" w:rsidRDefault="005051DB" w:rsidP="006D5DBC">
      <w:pPr>
        <w:pStyle w:val="Body"/>
      </w:pPr>
      <w:r w:rsidRPr="00BB3D77">
        <w:lastRenderedPageBreak/>
        <w:t xml:space="preserve">While current data limitations make it difficult to capture the total direct impact </w:t>
      </w:r>
      <w:r w:rsidR="006E748D">
        <w:t>IFI</w:t>
      </w:r>
      <w:r w:rsidR="000015AB" w:rsidRPr="00BB3D77">
        <w:t xml:space="preserve">-driven </w:t>
      </w:r>
      <w:r w:rsidRPr="00BB3D77">
        <w:t>investments have had on the supply chains of sectors such as mining, oil and gas, forestry, and utilities, our impact assessment from Chapter 1 can at least provide insights into some key link</w:t>
      </w:r>
      <w:r w:rsidR="008A68E2" w:rsidRPr="00BB3D77">
        <w:t>age</w:t>
      </w:r>
      <w:r w:rsidRPr="00BB3D77">
        <w:t xml:space="preserve">s. From 2016 to 2021 </w:t>
      </w:r>
      <w:r w:rsidR="006E748D">
        <w:t>IFI</w:t>
      </w:r>
      <w:r w:rsidRPr="00BB3D77">
        <w:t xml:space="preserve"> directed investments had direct </w:t>
      </w:r>
      <w:r w:rsidR="009557CC" w:rsidRPr="00BB3D77">
        <w:t xml:space="preserve">GDP </w:t>
      </w:r>
      <w:r w:rsidRPr="00BB3D77">
        <w:t>impact</w:t>
      </w:r>
      <w:r w:rsidR="006A2617" w:rsidRPr="00BB3D77">
        <w:t>s</w:t>
      </w:r>
      <w:r w:rsidRPr="00BB3D77">
        <w:t xml:space="preserve"> of </w:t>
      </w:r>
      <w:r w:rsidR="006A2617" w:rsidRPr="00BB3D77">
        <w:t>more than</w:t>
      </w:r>
      <w:r w:rsidRPr="00BB3D77">
        <w:t xml:space="preserve"> $9 million on support activities for mining and oil and gas production</w:t>
      </w:r>
      <w:r w:rsidR="006A2617" w:rsidRPr="00BB3D77">
        <w:t>;</w:t>
      </w:r>
      <w:r w:rsidR="009D2AA4" w:rsidRPr="00BB3D77">
        <w:t xml:space="preserve"> </w:t>
      </w:r>
      <w:r w:rsidR="006A2617" w:rsidRPr="00BB3D77">
        <w:t>more than</w:t>
      </w:r>
      <w:r w:rsidR="009D2AA4" w:rsidRPr="00BB3D77">
        <w:t xml:space="preserve"> $4.8 million on conventional oil and gas extraction</w:t>
      </w:r>
      <w:r w:rsidR="006A2617" w:rsidRPr="00BB3D77">
        <w:t>;</w:t>
      </w:r>
      <w:r w:rsidR="009D2AA4" w:rsidRPr="00BB3D77">
        <w:t xml:space="preserve"> </w:t>
      </w:r>
      <w:r w:rsidR="006A2617" w:rsidRPr="00BB3D77">
        <w:t xml:space="preserve">more than </w:t>
      </w:r>
      <w:r w:rsidR="00367678" w:rsidRPr="00BB3D77">
        <w:t>$1.</w:t>
      </w:r>
      <w:r w:rsidR="006A2617" w:rsidRPr="00BB3D77">
        <w:t>5</w:t>
      </w:r>
      <w:r w:rsidR="00367678" w:rsidRPr="00BB3D77">
        <w:t xml:space="preserve"> million </w:t>
      </w:r>
      <w:r w:rsidR="006A2617" w:rsidRPr="00BB3D77">
        <w:t>on</w:t>
      </w:r>
      <w:r w:rsidR="00367678" w:rsidRPr="00BB3D77">
        <w:t xml:space="preserve"> </w:t>
      </w:r>
      <w:r w:rsidR="00DE408D" w:rsidRPr="00BB3D77">
        <w:t>other</w:t>
      </w:r>
      <w:r w:rsidR="00367678" w:rsidRPr="00BB3D77">
        <w:t xml:space="preserve"> minerals mining and quarrying</w:t>
      </w:r>
      <w:r w:rsidR="009557CC" w:rsidRPr="00BB3D77">
        <w:t>; and more than $22.3 million on forestry and logging</w:t>
      </w:r>
      <w:r w:rsidRPr="00BB3D77">
        <w:t>.</w:t>
      </w:r>
      <w:r w:rsidR="00367678" w:rsidRPr="00BB3D77">
        <w:t xml:space="preserve"> This amounts to a total of </w:t>
      </w:r>
      <w:r w:rsidR="006A2617" w:rsidRPr="00BB3D77">
        <w:t>more than</w:t>
      </w:r>
      <w:r w:rsidR="00367678" w:rsidRPr="00BB3D77">
        <w:t xml:space="preserve"> </w:t>
      </w:r>
      <w:r w:rsidR="00DE408D" w:rsidRPr="00BB3D77">
        <w:t>$38 million</w:t>
      </w:r>
      <w:r w:rsidR="00367678" w:rsidRPr="00BB3D77">
        <w:t xml:space="preserve"> which does not include relevant </w:t>
      </w:r>
      <w:r w:rsidR="006A2617" w:rsidRPr="00BB3D77">
        <w:t>impacts on</w:t>
      </w:r>
      <w:r w:rsidR="00367678" w:rsidRPr="00BB3D77">
        <w:t xml:space="preserve"> non-residential construction, </w:t>
      </w:r>
      <w:r w:rsidR="00DE408D" w:rsidRPr="00BB3D77">
        <w:t xml:space="preserve">engineering, </w:t>
      </w:r>
      <w:r w:rsidR="00367678" w:rsidRPr="00BB3D77">
        <w:t>transportation</w:t>
      </w:r>
      <w:r w:rsidR="009557CC" w:rsidRPr="00BB3D77">
        <w:t xml:space="preserve"> and warehousing</w:t>
      </w:r>
      <w:r w:rsidR="00367678" w:rsidRPr="00BB3D77">
        <w:t xml:space="preserve">, </w:t>
      </w:r>
      <w:r w:rsidR="009557CC" w:rsidRPr="00BB3D77">
        <w:t xml:space="preserve">wholesale retail, </w:t>
      </w:r>
      <w:r w:rsidR="00367678" w:rsidRPr="00BB3D77">
        <w:t xml:space="preserve">remediation, </w:t>
      </w:r>
      <w:r w:rsidR="00DE408D" w:rsidRPr="00BB3D77">
        <w:t>accommodation</w:t>
      </w:r>
      <w:r w:rsidR="006A2617" w:rsidRPr="00BB3D77">
        <w:t>,</w:t>
      </w:r>
      <w:r w:rsidR="00DE408D" w:rsidRPr="00BB3D77">
        <w:t xml:space="preserve"> </w:t>
      </w:r>
      <w:r w:rsidR="00367678" w:rsidRPr="00BB3D77">
        <w:t xml:space="preserve">food services, </w:t>
      </w:r>
      <w:r w:rsidR="00DE408D" w:rsidRPr="00BB3D77">
        <w:t xml:space="preserve">and </w:t>
      </w:r>
      <w:r w:rsidR="006A2617" w:rsidRPr="00BB3D77">
        <w:t xml:space="preserve">other </w:t>
      </w:r>
      <w:r w:rsidR="009557CC" w:rsidRPr="00BB3D77">
        <w:t xml:space="preserve">supply chain </w:t>
      </w:r>
      <w:r w:rsidR="006A2617" w:rsidRPr="00BB3D77">
        <w:t>link</w:t>
      </w:r>
      <w:r w:rsidR="009557CC" w:rsidRPr="00BB3D77">
        <w:t>age</w:t>
      </w:r>
      <w:r w:rsidR="006A2617" w:rsidRPr="00BB3D77">
        <w:t>s</w:t>
      </w:r>
      <w:r w:rsidR="00DE408D" w:rsidRPr="00BB3D77">
        <w:t>.</w:t>
      </w:r>
      <w:r w:rsidR="00367678" w:rsidRPr="00BB3D77">
        <w:t xml:space="preserve"> </w:t>
      </w:r>
      <w:r w:rsidRPr="00BB3D77">
        <w:t xml:space="preserve">     </w:t>
      </w:r>
      <w:r w:rsidR="00831FBB" w:rsidRPr="00BB3D77">
        <w:t xml:space="preserve">  </w:t>
      </w:r>
    </w:p>
    <w:p w14:paraId="5153DE79" w14:textId="5176AF95" w:rsidR="00996AEF" w:rsidRPr="00BB3D77" w:rsidRDefault="006E748D" w:rsidP="006D5DBC">
      <w:pPr>
        <w:pStyle w:val="Body"/>
      </w:pPr>
      <w:r>
        <w:t>IFI</w:t>
      </w:r>
      <w:r w:rsidR="007C2374" w:rsidRPr="00BB3D77">
        <w:t>s</w:t>
      </w:r>
      <w:r w:rsidR="00CD56E8" w:rsidRPr="00BB3D77">
        <w:t xml:space="preserve"> have also been working with client communities to expand their involvement in </w:t>
      </w:r>
      <w:r w:rsidR="008378C7" w:rsidRPr="00BB3D77">
        <w:t xml:space="preserve">local and </w:t>
      </w:r>
      <w:r w:rsidR="00CD56E8" w:rsidRPr="00BB3D77">
        <w:t>regional</w:t>
      </w:r>
      <w:r w:rsidR="00597373" w:rsidRPr="00BB3D77">
        <w:t xml:space="preserve"> </w:t>
      </w:r>
      <w:r w:rsidR="008378C7" w:rsidRPr="00BB3D77">
        <w:t>power projects, focusing on hydropower and other renewables</w:t>
      </w:r>
      <w:r w:rsidR="00CD56E8" w:rsidRPr="00BB3D77">
        <w:t xml:space="preserve">. </w:t>
      </w:r>
      <w:r w:rsidR="001077D4" w:rsidRPr="00BB3D77">
        <w:t xml:space="preserve">From 2016 to 2021 </w:t>
      </w:r>
      <w:r>
        <w:t>IFI</w:t>
      </w:r>
      <w:r w:rsidR="00B961B2" w:rsidRPr="00BB3D77">
        <w:t xml:space="preserve">-driven </w:t>
      </w:r>
      <w:r w:rsidR="001077D4" w:rsidRPr="00BB3D77">
        <w:t xml:space="preserve">investments made a direct </w:t>
      </w:r>
      <w:r w:rsidR="003B10FE" w:rsidRPr="00BB3D77">
        <w:t xml:space="preserve">GDP </w:t>
      </w:r>
      <w:r w:rsidR="001077D4" w:rsidRPr="00BB3D77">
        <w:t xml:space="preserve">impact of $20.7 million on </w:t>
      </w:r>
      <w:r w:rsidR="003B10FE" w:rsidRPr="00BB3D77">
        <w:t xml:space="preserve">Indigenous led </w:t>
      </w:r>
      <w:r w:rsidR="001077D4" w:rsidRPr="00BB3D77">
        <w:t>electric power generation, transmission</w:t>
      </w:r>
      <w:r w:rsidR="005829DD" w:rsidRPr="00BB3D77">
        <w:t>,</w:t>
      </w:r>
      <w:r w:rsidR="001077D4" w:rsidRPr="00BB3D77">
        <w:t xml:space="preserve"> and distribution. </w:t>
      </w:r>
      <w:r w:rsidR="0085048C" w:rsidRPr="00BB3D77">
        <w:t xml:space="preserve">Based on the analysis of NACCA’s data, </w:t>
      </w:r>
      <w:r>
        <w:t>IFI</w:t>
      </w:r>
      <w:r w:rsidR="007C2374" w:rsidRPr="00BB3D77">
        <w:t>s</w:t>
      </w:r>
      <w:r w:rsidR="001077D4" w:rsidRPr="00BB3D77">
        <w:t xml:space="preserve"> in </w:t>
      </w:r>
      <w:r w:rsidR="00996AEF" w:rsidRPr="00BB3D77">
        <w:t>B</w:t>
      </w:r>
      <w:r w:rsidR="006A2617" w:rsidRPr="00BB3D77">
        <w:t>ritish Columbia</w:t>
      </w:r>
      <w:r w:rsidR="001077D4" w:rsidRPr="00BB3D77">
        <w:t xml:space="preserve"> have been the most active</w:t>
      </w:r>
      <w:r w:rsidR="00996AEF" w:rsidRPr="00BB3D77">
        <w:t xml:space="preserve"> invest</w:t>
      </w:r>
      <w:r w:rsidR="001077D4" w:rsidRPr="00BB3D77">
        <w:t>ors</w:t>
      </w:r>
      <w:r w:rsidR="00996AEF" w:rsidRPr="00BB3D77">
        <w:t xml:space="preserve"> in </w:t>
      </w:r>
      <w:r w:rsidR="001077D4" w:rsidRPr="00BB3D77">
        <w:t xml:space="preserve">First Nations </w:t>
      </w:r>
      <w:r w:rsidR="008378C7" w:rsidRPr="00BB3D77">
        <w:t>power</w:t>
      </w:r>
      <w:r w:rsidR="001077D4" w:rsidRPr="00BB3D77">
        <w:t xml:space="preserve"> projects, </w:t>
      </w:r>
      <w:r w:rsidR="00831FBB" w:rsidRPr="00BB3D77">
        <w:t>contributing</w:t>
      </w:r>
      <w:r w:rsidR="001077D4" w:rsidRPr="00BB3D77">
        <w:t xml:space="preserve"> </w:t>
      </w:r>
      <w:r w:rsidR="00831FBB" w:rsidRPr="00BB3D77">
        <w:t xml:space="preserve">over 83 per cent to </w:t>
      </w:r>
      <w:r w:rsidR="00A071B2" w:rsidRPr="00BB3D77">
        <w:t xml:space="preserve">our estimated </w:t>
      </w:r>
      <w:r w:rsidR="00831FBB" w:rsidRPr="00BB3D77">
        <w:t xml:space="preserve">total direct </w:t>
      </w:r>
      <w:r w:rsidR="003B10FE" w:rsidRPr="00BB3D77">
        <w:t xml:space="preserve">GDP </w:t>
      </w:r>
      <w:r w:rsidR="00831FBB" w:rsidRPr="00BB3D77">
        <w:t>impact</w:t>
      </w:r>
      <w:r w:rsidR="001077D4" w:rsidRPr="00BB3D77">
        <w:t>.</w:t>
      </w:r>
      <w:r w:rsidR="00B92A76" w:rsidRPr="00BB3D77">
        <w:t xml:space="preserve"> In 2021 The Conference Board of Canada published an in depth look at one of these </w:t>
      </w:r>
      <w:r w:rsidR="008378C7" w:rsidRPr="00BB3D77">
        <w:t xml:space="preserve">power </w:t>
      </w:r>
      <w:r w:rsidR="00B92A76" w:rsidRPr="00BB3D77">
        <w:t xml:space="preserve">projects, Atlin Xeitl Hydro, to better understand its economic and social impacts </w:t>
      </w:r>
      <w:r w:rsidR="008378C7" w:rsidRPr="00BB3D77">
        <w:t>for</w:t>
      </w:r>
      <w:r w:rsidR="00B92A76" w:rsidRPr="00BB3D77">
        <w:t xml:space="preserve"> the Taku River Tlingit First Nation</w:t>
      </w:r>
      <w:r w:rsidR="008378C7" w:rsidRPr="00BB3D77">
        <w:t xml:space="preserve"> and its neighbours</w:t>
      </w:r>
      <w:r w:rsidR="00B92A76" w:rsidRPr="00BB3D77">
        <w:t>.</w:t>
      </w:r>
      <w:r w:rsidR="0083507C" w:rsidRPr="00BB3D77">
        <w:rPr>
          <w:rStyle w:val="FootnoteReference"/>
        </w:rPr>
        <w:footnoteReference w:id="37"/>
      </w:r>
    </w:p>
    <w:p w14:paraId="672A51D3" w14:textId="3324DADE" w:rsidR="00965D97" w:rsidRPr="00BB3D77" w:rsidRDefault="00965D97" w:rsidP="00C13735">
      <w:pPr>
        <w:pStyle w:val="Heading4"/>
      </w:pPr>
      <w:bookmarkStart w:id="40" w:name="_Toc136865093"/>
      <w:r w:rsidRPr="00BB3D77">
        <w:t>Atlin</w:t>
      </w:r>
      <w:r w:rsidR="00AB6E7C" w:rsidRPr="00BB3D77">
        <w:t xml:space="preserve"> Xeitl Hydro</w:t>
      </w:r>
      <w:bookmarkEnd w:id="40"/>
    </w:p>
    <w:p w14:paraId="2C2CC17D" w14:textId="56C4935C" w:rsidR="00840281" w:rsidRPr="00BB3D77" w:rsidRDefault="00CF3664" w:rsidP="00CF3664">
      <w:pPr>
        <w:pStyle w:val="Body"/>
        <w:spacing w:before="360"/>
      </w:pPr>
      <w:r w:rsidRPr="00BB3D77">
        <w:t xml:space="preserve">The Atlin </w:t>
      </w:r>
      <w:r w:rsidR="0025676A" w:rsidRPr="00BB3D77">
        <w:t>Xeitl H</w:t>
      </w:r>
      <w:r w:rsidRPr="00BB3D77">
        <w:t>ydro project</w:t>
      </w:r>
      <w:r w:rsidR="008C2CD3" w:rsidRPr="00BB3D77">
        <w:t xml:space="preserve"> centres on</w:t>
      </w:r>
      <w:r w:rsidRPr="00BB3D77">
        <w:t xml:space="preserve"> a 2.1-megawatt modified run-of-river </w:t>
      </w:r>
      <w:r w:rsidR="008378C7" w:rsidRPr="00BB3D77">
        <w:t>hydropower</w:t>
      </w:r>
      <w:r w:rsidRPr="00BB3D77">
        <w:t xml:space="preserve"> station. </w:t>
      </w:r>
      <w:r w:rsidR="008378C7" w:rsidRPr="00BB3D77">
        <w:t>L</w:t>
      </w:r>
      <w:r w:rsidRPr="00BB3D77">
        <w:t>ocated on Pine Creek in Atlin, British Columbia</w:t>
      </w:r>
      <w:r w:rsidR="008378C7" w:rsidRPr="00BB3D77">
        <w:t>, t</w:t>
      </w:r>
      <w:r w:rsidR="00965D97" w:rsidRPr="00BB3D77">
        <w:t>h</w:t>
      </w:r>
      <w:r w:rsidR="008378C7" w:rsidRPr="00BB3D77">
        <w:t>e</w:t>
      </w:r>
      <w:r w:rsidR="00965D97" w:rsidRPr="00BB3D77">
        <w:t xml:space="preserve"> project was the first </w:t>
      </w:r>
      <w:r w:rsidR="00BC30DD" w:rsidRPr="00BB3D77">
        <w:t>to receive financing from</w:t>
      </w:r>
      <w:r w:rsidR="00965D97" w:rsidRPr="00BB3D77">
        <w:t xml:space="preserve"> the First Nation Regeneration Fund</w:t>
      </w:r>
      <w:r w:rsidR="0083507C" w:rsidRPr="00BB3D77">
        <w:t xml:space="preserve"> (FNRF)</w:t>
      </w:r>
      <w:r w:rsidR="00BC30DD" w:rsidRPr="00BB3D77">
        <w:t>. FNRF is</w:t>
      </w:r>
      <w:r w:rsidR="00965D97" w:rsidRPr="00BB3D77">
        <w:t xml:space="preserve"> a partnership between </w:t>
      </w:r>
      <w:r w:rsidR="00BC30DD" w:rsidRPr="00BB3D77">
        <w:t xml:space="preserve">Ecotrust Canada, a Canadian charity, and two </w:t>
      </w:r>
      <w:r w:rsidR="006E748D">
        <w:t>IFI</w:t>
      </w:r>
      <w:r w:rsidR="007C2374" w:rsidRPr="00BB3D77">
        <w:t>s</w:t>
      </w:r>
      <w:r w:rsidR="00BC30DD" w:rsidRPr="00BB3D77">
        <w:t xml:space="preserve">, </w:t>
      </w:r>
      <w:r w:rsidR="00965D97" w:rsidRPr="00BB3D77">
        <w:t xml:space="preserve">the Tale’awtxw Aboriginal Capital Corporation </w:t>
      </w:r>
      <w:r w:rsidR="00BC30DD" w:rsidRPr="00BB3D77">
        <w:t xml:space="preserve">(TACC) and </w:t>
      </w:r>
      <w:r w:rsidR="00965D97" w:rsidRPr="00BB3D77">
        <w:t>Tribal Resources Investment Corporation</w:t>
      </w:r>
      <w:r w:rsidR="008A658A" w:rsidRPr="00BB3D77">
        <w:t xml:space="preserve"> (TRICORP)</w:t>
      </w:r>
      <w:r w:rsidR="00965D97" w:rsidRPr="00BB3D77">
        <w:t>. Th</w:t>
      </w:r>
      <w:r w:rsidR="00BC30DD" w:rsidRPr="00BB3D77">
        <w:t>rough this</w:t>
      </w:r>
      <w:r w:rsidR="00965D97" w:rsidRPr="00BB3D77">
        <w:t xml:space="preserve"> fund </w:t>
      </w:r>
      <w:r w:rsidR="00BC30DD" w:rsidRPr="00BB3D77">
        <w:t>the partners aim</w:t>
      </w:r>
      <w:r w:rsidR="00965D97" w:rsidRPr="00BB3D77">
        <w:t xml:space="preserve"> to </w:t>
      </w:r>
      <w:r w:rsidR="00BC30DD" w:rsidRPr="00BB3D77">
        <w:t>create</w:t>
      </w:r>
      <w:r w:rsidR="00965D97" w:rsidRPr="00BB3D77">
        <w:t xml:space="preserve"> </w:t>
      </w:r>
      <w:r w:rsidR="0083507C" w:rsidRPr="00BB3D77">
        <w:t xml:space="preserve">more </w:t>
      </w:r>
      <w:r w:rsidR="00965D97" w:rsidRPr="00BB3D77">
        <w:t xml:space="preserve">renewable </w:t>
      </w:r>
      <w:r w:rsidR="00BC30DD" w:rsidRPr="00BB3D77">
        <w:t xml:space="preserve">power </w:t>
      </w:r>
      <w:r w:rsidR="0083507C" w:rsidRPr="00BB3D77">
        <w:t xml:space="preserve">utilities </w:t>
      </w:r>
      <w:r w:rsidR="00965D97" w:rsidRPr="00BB3D77">
        <w:t xml:space="preserve">in </w:t>
      </w:r>
      <w:r w:rsidR="0083507C" w:rsidRPr="00BB3D77">
        <w:t>British Columbia</w:t>
      </w:r>
      <w:r w:rsidR="00965D97" w:rsidRPr="00BB3D77">
        <w:t xml:space="preserve"> and </w:t>
      </w:r>
      <w:r w:rsidR="0083507C" w:rsidRPr="00BB3D77">
        <w:t>help grow Indigenous</w:t>
      </w:r>
      <w:r w:rsidR="00965D97" w:rsidRPr="00BB3D77">
        <w:t xml:space="preserve"> economies by financing </w:t>
      </w:r>
      <w:r w:rsidR="0083507C" w:rsidRPr="00BB3D77">
        <w:t>Indigenous</w:t>
      </w:r>
      <w:r w:rsidR="00965D97" w:rsidRPr="00BB3D77">
        <w:t xml:space="preserve"> equity stakes in renewable energy projects.</w:t>
      </w:r>
      <w:r w:rsidR="0083507C" w:rsidRPr="00BB3D77">
        <w:rPr>
          <w:rStyle w:val="FootnoteReference"/>
        </w:rPr>
        <w:footnoteReference w:id="38"/>
      </w:r>
      <w:r w:rsidR="00965D97" w:rsidRPr="00BB3D77">
        <w:t xml:space="preserve"> </w:t>
      </w:r>
    </w:p>
    <w:p w14:paraId="580F2EF2" w14:textId="4A74E93B" w:rsidR="00CF3664" w:rsidRPr="00BB3D77" w:rsidRDefault="0083507C" w:rsidP="006D5DBC">
      <w:pPr>
        <w:pStyle w:val="Body"/>
      </w:pPr>
      <w:r w:rsidRPr="00BB3D77">
        <w:lastRenderedPageBreak/>
        <w:t xml:space="preserve">Workers from Taku River </w:t>
      </w:r>
      <w:r w:rsidR="00271A39" w:rsidRPr="00BB3D77">
        <w:t xml:space="preserve">Tlingit </w:t>
      </w:r>
      <w:r w:rsidR="00CF3664" w:rsidRPr="00BB3D77">
        <w:t xml:space="preserve">First Nation trained </w:t>
      </w:r>
      <w:r w:rsidR="00271A39" w:rsidRPr="00BB3D77">
        <w:t>with</w:t>
      </w:r>
      <w:r w:rsidR="00CF3664" w:rsidRPr="00BB3D77">
        <w:t xml:space="preserve"> consult</w:t>
      </w:r>
      <w:r w:rsidR="00271A39" w:rsidRPr="00BB3D77">
        <w:t>ing experts</w:t>
      </w:r>
      <w:r w:rsidR="00CF3664" w:rsidRPr="00BB3D77">
        <w:t xml:space="preserve"> during the</w:t>
      </w:r>
      <w:r w:rsidR="00AB6E7C" w:rsidRPr="00BB3D77">
        <w:t xml:space="preserve"> </w:t>
      </w:r>
      <w:r w:rsidR="00CF3664" w:rsidRPr="00BB3D77">
        <w:t>planning and permitting phase of the project.</w:t>
      </w:r>
      <w:r w:rsidR="00AB6E7C" w:rsidRPr="00BB3D77">
        <w:t xml:space="preserve"> </w:t>
      </w:r>
      <w:r w:rsidR="00CF3664" w:rsidRPr="00BB3D77">
        <w:t xml:space="preserve">This </w:t>
      </w:r>
      <w:r w:rsidRPr="00BB3D77">
        <w:t xml:space="preserve">enabled </w:t>
      </w:r>
      <w:r w:rsidR="00DA64DC" w:rsidRPr="00BB3D77">
        <w:t>the First Nation</w:t>
      </w:r>
      <w:r w:rsidRPr="00BB3D77">
        <w:t xml:space="preserve"> to build </w:t>
      </w:r>
      <w:r w:rsidR="00DA64DC" w:rsidRPr="00BB3D77">
        <w:t xml:space="preserve">local </w:t>
      </w:r>
      <w:r w:rsidRPr="00BB3D77">
        <w:t>capacity in essential</w:t>
      </w:r>
      <w:r w:rsidR="00CF3664" w:rsidRPr="00BB3D77">
        <w:t xml:space="preserve"> technical skills</w:t>
      </w:r>
      <w:r w:rsidRPr="00BB3D77">
        <w:t xml:space="preserve"> including</w:t>
      </w:r>
      <w:r w:rsidR="00CF3664" w:rsidRPr="00BB3D77">
        <w:t xml:space="preserve"> project</w:t>
      </w:r>
      <w:r w:rsidR="00AB6E7C" w:rsidRPr="00BB3D77">
        <w:t xml:space="preserve"> </w:t>
      </w:r>
      <w:r w:rsidR="00CF3664" w:rsidRPr="00BB3D77">
        <w:t>management, hydrology, administration, technical</w:t>
      </w:r>
      <w:r w:rsidR="00AB6E7C" w:rsidRPr="00BB3D77">
        <w:t xml:space="preserve"> </w:t>
      </w:r>
      <w:r w:rsidR="00CF3664" w:rsidRPr="00BB3D77">
        <w:t xml:space="preserve">reporting, field reconnaissance, </w:t>
      </w:r>
      <w:r w:rsidR="008A658A" w:rsidRPr="00BB3D77">
        <w:t xml:space="preserve">site </w:t>
      </w:r>
      <w:r w:rsidR="00CF3664" w:rsidRPr="00BB3D77">
        <w:t>mapping, and photography.</w:t>
      </w:r>
      <w:r w:rsidR="00AB6E7C" w:rsidRPr="00BB3D77">
        <w:t xml:space="preserve"> </w:t>
      </w:r>
      <w:r w:rsidR="00DA64DC" w:rsidRPr="00BB3D77">
        <w:t>It represented a</w:t>
      </w:r>
      <w:r w:rsidR="00CF3664" w:rsidRPr="00BB3D77">
        <w:t xml:space="preserve"> </w:t>
      </w:r>
      <w:r w:rsidR="00DA64DC" w:rsidRPr="00BB3D77">
        <w:t>direct</w:t>
      </w:r>
      <w:r w:rsidR="00CF3664" w:rsidRPr="00BB3D77">
        <w:t xml:space="preserve"> transfer of skills to First</w:t>
      </w:r>
      <w:r w:rsidR="00AB6E7C" w:rsidRPr="00BB3D77">
        <w:t xml:space="preserve"> </w:t>
      </w:r>
      <w:r w:rsidR="00CF3664" w:rsidRPr="00BB3D77">
        <w:t>Nation residents.</w:t>
      </w:r>
      <w:r w:rsidR="00271A39" w:rsidRPr="00BB3D77">
        <w:rPr>
          <w:rStyle w:val="FootnoteReference"/>
        </w:rPr>
        <w:footnoteReference w:id="39"/>
      </w:r>
    </w:p>
    <w:p w14:paraId="6C90C08D" w14:textId="711555E6" w:rsidR="00AB6E7C" w:rsidRPr="00BB3D77" w:rsidRDefault="00271A39" w:rsidP="006D5DBC">
      <w:pPr>
        <w:pStyle w:val="Body"/>
      </w:pPr>
      <w:r w:rsidRPr="00BB3D77">
        <w:t>The First Nation’s</w:t>
      </w:r>
      <w:r w:rsidR="00AB6E7C" w:rsidRPr="00BB3D77">
        <w:t xml:space="preserve"> </w:t>
      </w:r>
      <w:r w:rsidR="00DA64DC" w:rsidRPr="00BB3D77">
        <w:t xml:space="preserve">enhanced </w:t>
      </w:r>
      <w:r w:rsidR="00AB6E7C" w:rsidRPr="00BB3D77">
        <w:t xml:space="preserve">capacity </w:t>
      </w:r>
      <w:r w:rsidRPr="00BB3D77">
        <w:t>further</w:t>
      </w:r>
      <w:r w:rsidR="00DA64DC" w:rsidRPr="00BB3D77">
        <w:t xml:space="preserve"> enabled its</w:t>
      </w:r>
      <w:r w:rsidR="00AB6E7C" w:rsidRPr="00BB3D77">
        <w:t xml:space="preserve"> development corporation to </w:t>
      </w:r>
      <w:r w:rsidRPr="00BB3D77">
        <w:t xml:space="preserve">confidently </w:t>
      </w:r>
      <w:r w:rsidR="00DA64DC" w:rsidRPr="00BB3D77">
        <w:t xml:space="preserve">pursue </w:t>
      </w:r>
      <w:r w:rsidR="004B4C35" w:rsidRPr="00BB3D77">
        <w:t>other</w:t>
      </w:r>
      <w:r w:rsidR="00AB6E7C" w:rsidRPr="00BB3D77">
        <w:t xml:space="preserve"> capital projects </w:t>
      </w:r>
      <w:r w:rsidR="008A658A" w:rsidRPr="00BB3D77">
        <w:t xml:space="preserve">with community labour </w:t>
      </w:r>
      <w:r w:rsidR="00DA64DC" w:rsidRPr="00BB3D77">
        <w:t>including local road building and maintenance, a</w:t>
      </w:r>
      <w:r w:rsidR="00AB6E7C" w:rsidRPr="00BB3D77">
        <w:t xml:space="preserve"> mine water treatment plant, geo</w:t>
      </w:r>
      <w:r w:rsidR="00863EC0" w:rsidRPr="00BB3D77">
        <w:t>-</w:t>
      </w:r>
      <w:r w:rsidR="00AB6E7C" w:rsidRPr="00BB3D77">
        <w:t xml:space="preserve">exchange heated buildings with a lake loop, </w:t>
      </w:r>
      <w:r w:rsidR="00DA64DC" w:rsidRPr="00BB3D77">
        <w:t xml:space="preserve">and </w:t>
      </w:r>
      <w:r w:rsidR="00AB6E7C" w:rsidRPr="00BB3D77">
        <w:t xml:space="preserve">contracts with environmental firms doing mine reclamation and work on </w:t>
      </w:r>
      <w:r w:rsidR="00DA64DC" w:rsidRPr="00BB3D77">
        <w:t>provincial</w:t>
      </w:r>
      <w:r w:rsidR="00AB6E7C" w:rsidRPr="00BB3D77">
        <w:t xml:space="preserve"> highways.</w:t>
      </w:r>
      <w:r w:rsidRPr="00BB3D77">
        <w:rPr>
          <w:rStyle w:val="FootnoteReference"/>
        </w:rPr>
        <w:footnoteReference w:id="40"/>
      </w:r>
    </w:p>
    <w:p w14:paraId="475BBED5" w14:textId="2FC9197B" w:rsidR="0035082B" w:rsidRPr="00BB3D77" w:rsidRDefault="00DA64DC" w:rsidP="006D5DBC">
      <w:pPr>
        <w:pStyle w:val="Body"/>
      </w:pPr>
      <w:r w:rsidRPr="00BB3D77">
        <w:t xml:space="preserve">The First Nation’s ownership and direct involvement in the </w:t>
      </w:r>
      <w:r w:rsidR="00EE66ED" w:rsidRPr="00BB3D77">
        <w:t xml:space="preserve">hydro </w:t>
      </w:r>
      <w:r w:rsidR="0035082B" w:rsidRPr="00BB3D77">
        <w:t xml:space="preserve">project </w:t>
      </w:r>
      <w:r w:rsidRPr="00BB3D77">
        <w:t xml:space="preserve">also has had </w:t>
      </w:r>
      <w:r w:rsidR="0035082B" w:rsidRPr="00BB3D77">
        <w:t xml:space="preserve">a positive </w:t>
      </w:r>
      <w:r w:rsidR="00A32CC4" w:rsidRPr="00BB3D77">
        <w:t xml:space="preserve">social </w:t>
      </w:r>
      <w:r w:rsidR="0035082B" w:rsidRPr="00BB3D77">
        <w:t>impact on community wellbeing. Own-source revenue</w:t>
      </w:r>
      <w:r w:rsidRPr="00BB3D77">
        <w:t xml:space="preserve"> from the utility for example,</w:t>
      </w:r>
      <w:r w:rsidR="0035082B" w:rsidRPr="00BB3D77">
        <w:t xml:space="preserve"> is frequently invested in services and programs that support important community objectives</w:t>
      </w:r>
      <w:r w:rsidRPr="00BB3D77">
        <w:t xml:space="preserve"> including</w:t>
      </w:r>
      <w:r w:rsidR="0035082B" w:rsidRPr="00BB3D77">
        <w:t xml:space="preserve"> health and </w:t>
      </w:r>
      <w:r w:rsidR="00655357" w:rsidRPr="00BB3D77">
        <w:t>wellness</w:t>
      </w:r>
      <w:r w:rsidR="0035082B" w:rsidRPr="00BB3D77">
        <w:t xml:space="preserve">, </w:t>
      </w:r>
      <w:r w:rsidR="00C92C44" w:rsidRPr="00BB3D77">
        <w:t xml:space="preserve">land use planning and monitoring, </w:t>
      </w:r>
      <w:r w:rsidR="0035082B" w:rsidRPr="00BB3D77">
        <w:t>economic development and employment, education, and language and cultural programming.</w:t>
      </w:r>
      <w:r w:rsidR="006D5DBC" w:rsidRPr="00BB3D77">
        <w:rPr>
          <w:rStyle w:val="FootnoteReference"/>
        </w:rPr>
        <w:footnoteReference w:id="41"/>
      </w:r>
    </w:p>
    <w:p w14:paraId="306E7E10" w14:textId="65E03E2F" w:rsidR="002109D4" w:rsidRPr="00BB3D77" w:rsidRDefault="00B05F47" w:rsidP="00C13735">
      <w:pPr>
        <w:pStyle w:val="Heading3"/>
      </w:pPr>
      <w:bookmarkStart w:id="41" w:name="_Toc136865094"/>
      <w:r w:rsidRPr="00BB3D77">
        <w:t xml:space="preserve">Modeling possible </w:t>
      </w:r>
      <w:r w:rsidR="003B2949" w:rsidRPr="00BB3D77">
        <w:t>linkages</w:t>
      </w:r>
      <w:r w:rsidRPr="00BB3D77">
        <w:t xml:space="preserve"> between </w:t>
      </w:r>
      <w:r w:rsidR="0098610C" w:rsidRPr="00BB3D77">
        <w:t xml:space="preserve">employment </w:t>
      </w:r>
      <w:r w:rsidRPr="00BB3D77">
        <w:t>income and other social determinants of health</w:t>
      </w:r>
      <w:r w:rsidR="0028202B" w:rsidRPr="00BB3D77">
        <w:t xml:space="preserve"> and wellbeing</w:t>
      </w:r>
      <w:bookmarkEnd w:id="41"/>
    </w:p>
    <w:p w14:paraId="577990C4" w14:textId="44CD8DB9" w:rsidR="00E82A1D" w:rsidRPr="00BB3D77" w:rsidRDefault="00FD56F0" w:rsidP="002109D4">
      <w:pPr>
        <w:pStyle w:val="Body"/>
      </w:pPr>
      <w:r w:rsidRPr="00BB3D77">
        <w:t>Building on the direct economic impacts discussed earlier, w</w:t>
      </w:r>
      <w:r w:rsidR="002109D4" w:rsidRPr="00BB3D77">
        <w:t xml:space="preserve">e </w:t>
      </w:r>
      <w:r w:rsidR="00E82A1D" w:rsidRPr="00BB3D77">
        <w:t xml:space="preserve">developed a simulation model to explore the relationship between </w:t>
      </w:r>
      <w:r w:rsidR="00052B2F" w:rsidRPr="00BB3D77">
        <w:t>employment income</w:t>
      </w:r>
      <w:r w:rsidR="002109D4" w:rsidRPr="00BB3D77">
        <w:t xml:space="preserve"> </w:t>
      </w:r>
      <w:r w:rsidR="00E82A1D" w:rsidRPr="00BB3D77">
        <w:t>and other</w:t>
      </w:r>
      <w:r w:rsidR="0049347D" w:rsidRPr="00BB3D77">
        <w:t xml:space="preserve"> social determinants </w:t>
      </w:r>
      <w:r w:rsidR="00A071B2" w:rsidRPr="00BB3D77">
        <w:t>of health and wellbeing</w:t>
      </w:r>
      <w:r w:rsidRPr="00BB3D77">
        <w:t xml:space="preserve">. </w:t>
      </w:r>
    </w:p>
    <w:p w14:paraId="3B50DF15" w14:textId="5DE9ABEC" w:rsidR="00910D33" w:rsidRPr="00BB3D77" w:rsidRDefault="00E82A1D" w:rsidP="00910D33">
      <w:pPr>
        <w:pStyle w:val="Body"/>
      </w:pPr>
      <w:r w:rsidRPr="00BB3D77">
        <w:t>The model simulates social impacts by using our prior impact assessment of direct employment and labor income. To achieve this goal, the distribution of direct labor incomes from our impact assessment was matched against a stratified random sample of data from the 2017 Aboriginal Peoples Survey</w:t>
      </w:r>
      <w:r w:rsidR="006A2F55" w:rsidRPr="00BB3D77">
        <w:t xml:space="preserve"> (APS)</w:t>
      </w:r>
      <w:r w:rsidRPr="00BB3D77">
        <w:t>, which represent</w:t>
      </w:r>
      <w:r w:rsidR="00543C1B" w:rsidRPr="00BB3D77">
        <w:t>s</w:t>
      </w:r>
      <w:r w:rsidRPr="00BB3D77">
        <w:t xml:space="preserve"> population characteristics </w:t>
      </w:r>
      <w:r w:rsidR="000E77F1" w:rsidRPr="00BB3D77">
        <w:t>of</w:t>
      </w:r>
      <w:r w:rsidRPr="00BB3D77">
        <w:t xml:space="preserve"> First Nation, </w:t>
      </w:r>
      <w:r w:rsidR="000E77F1" w:rsidRPr="00BB3D77">
        <w:t>Métis</w:t>
      </w:r>
      <w:r w:rsidRPr="00BB3D77">
        <w:t xml:space="preserve">, and </w:t>
      </w:r>
      <w:r w:rsidRPr="00BB3D77">
        <w:lastRenderedPageBreak/>
        <w:t xml:space="preserve">Inuit people living off-reserve. </w:t>
      </w:r>
      <w:r w:rsidR="0055352A" w:rsidRPr="00BB3D77">
        <w:t>Due to data limitations</w:t>
      </w:r>
      <w:r w:rsidR="006A2F55" w:rsidRPr="00BB3D77">
        <w:t>,</w:t>
      </w:r>
      <w:r w:rsidR="0055352A" w:rsidRPr="00BB3D77">
        <w:t xml:space="preserve"> we were unable to include an on-reserve population in the simulation model.</w:t>
      </w:r>
      <w:r w:rsidR="0055352A" w:rsidRPr="00BB3D77">
        <w:rPr>
          <w:rStyle w:val="FootnoteReference"/>
        </w:rPr>
        <w:footnoteReference w:id="42"/>
      </w:r>
      <w:r w:rsidR="00910D33" w:rsidRPr="00BB3D77">
        <w:t xml:space="preserve">  </w:t>
      </w:r>
    </w:p>
    <w:p w14:paraId="1CC54F5A" w14:textId="57A7C166" w:rsidR="00E82A1D" w:rsidRPr="00BB3D77" w:rsidRDefault="00E82A1D" w:rsidP="002109D4">
      <w:pPr>
        <w:pStyle w:val="Body"/>
      </w:pPr>
      <w:r w:rsidRPr="00BB3D77">
        <w:t>For over 20-years researchers in Canada have used the APS to investigate relationship</w:t>
      </w:r>
      <w:r w:rsidR="000E77F1" w:rsidRPr="00BB3D77">
        <w:t>s</w:t>
      </w:r>
      <w:r w:rsidRPr="00BB3D77">
        <w:t xml:space="preserve"> between income and other determinants of health and wellbeing. This recurring survey gathers the largest </w:t>
      </w:r>
      <w:r w:rsidR="000E77F1" w:rsidRPr="00BB3D77">
        <w:t xml:space="preserve">national </w:t>
      </w:r>
      <w:r w:rsidRPr="00BB3D77">
        <w:t>samples of rural, remote, and urban Indigenous populations in Canada</w:t>
      </w:r>
      <w:r w:rsidR="00543C1B" w:rsidRPr="00BB3D77">
        <w:t>. For the 2017 edition over 2</w:t>
      </w:r>
      <w:r w:rsidR="006A2F55" w:rsidRPr="00BB3D77">
        <w:t>5</w:t>
      </w:r>
      <w:r w:rsidR="00543C1B" w:rsidRPr="00BB3D77">
        <w:t>,000 First Nation, Métis, and Inuit individuals aged 15 years or older and living off-reserve participated.</w:t>
      </w:r>
      <w:r w:rsidRPr="00BB3D77">
        <w:t xml:space="preserve"> Statistics Canada staff</w:t>
      </w:r>
      <w:r w:rsidR="00543C1B" w:rsidRPr="00BB3D77">
        <w:t xml:space="preserve"> then</w:t>
      </w:r>
      <w:r w:rsidRPr="00BB3D77">
        <w:t xml:space="preserve"> weight</w:t>
      </w:r>
      <w:r w:rsidR="00543C1B" w:rsidRPr="00BB3D77">
        <w:t>ed</w:t>
      </w:r>
      <w:r w:rsidRPr="00BB3D77">
        <w:t xml:space="preserve"> the survey </w:t>
      </w:r>
      <w:r w:rsidR="006A2F55" w:rsidRPr="00BB3D77">
        <w:t>sample</w:t>
      </w:r>
      <w:r w:rsidRPr="00BB3D77">
        <w:t xml:space="preserve"> to be aligned with </w:t>
      </w:r>
      <w:r w:rsidR="00543C1B" w:rsidRPr="00BB3D77">
        <w:t>relevant</w:t>
      </w:r>
      <w:r w:rsidRPr="00BB3D77">
        <w:t xml:space="preserve"> population characteristics from the census.</w:t>
      </w:r>
      <w:r w:rsidR="00543C1B" w:rsidRPr="00BB3D77">
        <w:t xml:space="preserve"> </w:t>
      </w:r>
    </w:p>
    <w:p w14:paraId="0BBF084F" w14:textId="5C547634" w:rsidR="00E82A1D" w:rsidRPr="00BB3D77" w:rsidRDefault="000E77F1" w:rsidP="00E82A1D">
      <w:pPr>
        <w:pStyle w:val="Body"/>
      </w:pPr>
      <w:r w:rsidRPr="00BB3D77">
        <w:t>Our</w:t>
      </w:r>
      <w:r w:rsidR="00E82A1D" w:rsidRPr="00BB3D77">
        <w:t xml:space="preserve"> simulation</w:t>
      </w:r>
      <w:r w:rsidRPr="00BB3D77">
        <w:t xml:space="preserve"> model</w:t>
      </w:r>
      <w:r w:rsidR="00E82A1D" w:rsidRPr="00BB3D77">
        <w:t xml:space="preserve"> was designed to estimate how indicators of self-reported food security, health, mental health, and housing satisfaction </w:t>
      </w:r>
      <w:r w:rsidR="006A2F55" w:rsidRPr="00BB3D77">
        <w:t xml:space="preserve">may </w:t>
      </w:r>
      <w:r w:rsidR="00E82A1D" w:rsidRPr="00BB3D77">
        <w:t>var</w:t>
      </w:r>
      <w:r w:rsidR="006A2F55" w:rsidRPr="00BB3D77">
        <w:t>y</w:t>
      </w:r>
      <w:r w:rsidR="00E82A1D" w:rsidRPr="00BB3D77">
        <w:t xml:space="preserve"> by employment income while controlling for other factors in the </w:t>
      </w:r>
      <w:r w:rsidR="00E106FD" w:rsidRPr="00BB3D77">
        <w:t>off-reserve Indigenous labour force</w:t>
      </w:r>
      <w:r w:rsidR="00E82A1D" w:rsidRPr="00BB3D77">
        <w:t xml:space="preserve">. This involved using statistical techniques to examine the relationship between </w:t>
      </w:r>
      <w:r w:rsidR="00E106FD" w:rsidRPr="00BB3D77">
        <w:t xml:space="preserve">labour </w:t>
      </w:r>
      <w:r w:rsidR="00E82A1D" w:rsidRPr="00BB3D77">
        <w:t xml:space="preserve">income and each of these indicators, while </w:t>
      </w:r>
      <w:r w:rsidR="0098610C" w:rsidRPr="00BB3D77">
        <w:t>controlling</w:t>
      </w:r>
      <w:r w:rsidR="00E82A1D" w:rsidRPr="00BB3D77">
        <w:t xml:space="preserve"> for other relevant factors</w:t>
      </w:r>
      <w:r w:rsidR="006A2F55" w:rsidRPr="00BB3D77">
        <w:t xml:space="preserve"> in the population of interest</w:t>
      </w:r>
      <w:r w:rsidR="00E82A1D" w:rsidRPr="00BB3D77">
        <w:t xml:space="preserve">, such as age, gender, </w:t>
      </w:r>
      <w:r w:rsidRPr="00BB3D77">
        <w:t>location</w:t>
      </w:r>
      <w:r w:rsidR="00E106FD" w:rsidRPr="00BB3D77">
        <w:t xml:space="preserve">, </w:t>
      </w:r>
      <w:r w:rsidR="00E82A1D" w:rsidRPr="00BB3D77">
        <w:t>and education.</w:t>
      </w:r>
      <w:r w:rsidRPr="00BB3D77">
        <w:rPr>
          <w:rStyle w:val="FootnoteReference"/>
        </w:rPr>
        <w:footnoteReference w:id="43"/>
      </w:r>
      <w:r w:rsidR="006A2F55" w:rsidRPr="00BB3D77">
        <w:t xml:space="preserve">  </w:t>
      </w:r>
    </w:p>
    <w:p w14:paraId="5A114F2C" w14:textId="2F4787AD" w:rsidR="00E82A1D" w:rsidRPr="00BB3D77" w:rsidRDefault="00E82A1D" w:rsidP="00E82A1D">
      <w:pPr>
        <w:pStyle w:val="Body"/>
      </w:pPr>
      <w:r w:rsidRPr="00BB3D77">
        <w:t>The simulation results were then analyzed to determine the extent to which employment income was associated with differences in self-reported food security, health, mental health, and housing satisfaction</w:t>
      </w:r>
      <w:r w:rsidR="00E106FD" w:rsidRPr="00BB3D77">
        <w:t xml:space="preserve"> by the off-reserve labour force</w:t>
      </w:r>
      <w:r w:rsidRPr="00BB3D77">
        <w:t>. This involved comparing the indicators for different income groups.</w:t>
      </w:r>
      <w:r w:rsidR="00570F16" w:rsidRPr="00BB3D77">
        <w:t xml:space="preserve">  </w:t>
      </w:r>
    </w:p>
    <w:p w14:paraId="6BB9A7BC" w14:textId="638FE582" w:rsidR="00056A52" w:rsidRPr="00BB3D77" w:rsidRDefault="00BE1896" w:rsidP="00C13735">
      <w:pPr>
        <w:pStyle w:val="Heading4"/>
      </w:pPr>
      <w:bookmarkStart w:id="42" w:name="_Toc136865095"/>
      <w:r w:rsidRPr="00BB3D77">
        <w:t xml:space="preserve">Employment </w:t>
      </w:r>
      <w:r w:rsidR="009E5140">
        <w:t>i</w:t>
      </w:r>
      <w:r w:rsidR="00056A52" w:rsidRPr="00BB3D77">
        <w:t xml:space="preserve">ncome and </w:t>
      </w:r>
      <w:r w:rsidR="009E5140">
        <w:t>f</w:t>
      </w:r>
      <w:r w:rsidR="00056A52" w:rsidRPr="00BB3D77">
        <w:t xml:space="preserve">ood </w:t>
      </w:r>
      <w:r w:rsidR="009E5140">
        <w:t>s</w:t>
      </w:r>
      <w:r w:rsidR="00056A52" w:rsidRPr="00BB3D77">
        <w:t>ecurity</w:t>
      </w:r>
      <w:bookmarkEnd w:id="42"/>
      <w:r w:rsidR="00056A52" w:rsidRPr="00BB3D77">
        <w:t xml:space="preserve"> </w:t>
      </w:r>
    </w:p>
    <w:p w14:paraId="04488762" w14:textId="761D0E5E" w:rsidR="00FE5667" w:rsidRPr="00BB3D77" w:rsidRDefault="00B22A5B" w:rsidP="002109D4">
      <w:pPr>
        <w:pStyle w:val="Body"/>
      </w:pPr>
      <w:r w:rsidRPr="00BB3D77">
        <w:t xml:space="preserve">The 2017 Aboriginal Peoples Survey provided a detailed picture of food security among Indigenous peoples living off-reserve in Canada. By asking a variety of questions related to food consumption, access, and perceptions of security, the survey was able to provide insights into the factors that contribute to food security and the experiences of those affected by it. </w:t>
      </w:r>
    </w:p>
    <w:p w14:paraId="3E23BF6B" w14:textId="585B7737" w:rsidR="00B22A5B" w:rsidRPr="00BB3D77" w:rsidRDefault="00B22A5B" w:rsidP="002109D4">
      <w:pPr>
        <w:pStyle w:val="Body"/>
      </w:pPr>
      <w:r w:rsidRPr="00BB3D77">
        <w:lastRenderedPageBreak/>
        <w:t xml:space="preserve">Most relevant to our simulation model, respondents were asked to assess their own food security. This involved a series of questions related to their perceptions of their access to food, their ability to meet their food needs, and their feelings of anxiety or stress related to their food situation. The resulting </w:t>
      </w:r>
      <w:r w:rsidR="0098610C" w:rsidRPr="00BB3D77">
        <w:t xml:space="preserve">summary </w:t>
      </w:r>
      <w:r w:rsidRPr="00BB3D77">
        <w:t xml:space="preserve">indicator of food security </w:t>
      </w:r>
      <w:r w:rsidR="00E106FD" w:rsidRPr="00BB3D77">
        <w:t xml:space="preserve">– from low to high – </w:t>
      </w:r>
      <w:r w:rsidRPr="00BB3D77">
        <w:t>was used in our simulation model.</w:t>
      </w:r>
    </w:p>
    <w:p w14:paraId="4808C0BB" w14:textId="2C132609" w:rsidR="002109D4" w:rsidRPr="00BB3D77" w:rsidRDefault="00B22A5B" w:rsidP="002109D4">
      <w:pPr>
        <w:pStyle w:val="Body"/>
      </w:pPr>
      <w:r w:rsidRPr="00BB3D77">
        <w:t xml:space="preserve">Our simulation </w:t>
      </w:r>
      <w:r w:rsidR="00B82522" w:rsidRPr="00BB3D77">
        <w:t xml:space="preserve">then explored how the </w:t>
      </w:r>
      <w:r w:rsidR="00977001" w:rsidRPr="00BB3D77">
        <w:t xml:space="preserve">sampled </w:t>
      </w:r>
      <w:r w:rsidR="00B82522" w:rsidRPr="00BB3D77">
        <w:t xml:space="preserve">off-reserve </w:t>
      </w:r>
      <w:r w:rsidR="00E106FD" w:rsidRPr="00BB3D77">
        <w:t>labour force</w:t>
      </w:r>
      <w:r w:rsidR="00B82522" w:rsidRPr="00BB3D77">
        <w:t>’s self-reported</w:t>
      </w:r>
      <w:r w:rsidR="00056A52" w:rsidRPr="00BB3D77">
        <w:t xml:space="preserve"> food security</w:t>
      </w:r>
      <w:r w:rsidRPr="00BB3D77">
        <w:t xml:space="preserve"> </w:t>
      </w:r>
      <w:r w:rsidR="00B82522" w:rsidRPr="00BB3D77">
        <w:t xml:space="preserve">varied </w:t>
      </w:r>
      <w:r w:rsidRPr="00BB3D77">
        <w:t xml:space="preserve">by </w:t>
      </w:r>
      <w:r w:rsidR="00B82522" w:rsidRPr="00BB3D77">
        <w:t>employment</w:t>
      </w:r>
      <w:r w:rsidRPr="00BB3D77">
        <w:t xml:space="preserve"> </w:t>
      </w:r>
      <w:r w:rsidR="00E106FD" w:rsidRPr="00BB3D77">
        <w:t>and income groups</w:t>
      </w:r>
      <w:r w:rsidR="00B82522" w:rsidRPr="00BB3D77">
        <w:t xml:space="preserve">. </w:t>
      </w:r>
      <w:r w:rsidR="00977001" w:rsidRPr="00BB3D77">
        <w:t xml:space="preserve">Chart </w:t>
      </w:r>
      <w:r w:rsidR="00E106FD" w:rsidRPr="00BB3D77">
        <w:t>4</w:t>
      </w:r>
      <w:r w:rsidR="00977001" w:rsidRPr="00BB3D77">
        <w:t xml:space="preserve"> presents simulation results </w:t>
      </w:r>
      <w:r w:rsidR="00E106FD" w:rsidRPr="00BB3D77">
        <w:t xml:space="preserve">for </w:t>
      </w:r>
      <w:r w:rsidR="000E77F1" w:rsidRPr="00BB3D77">
        <w:t xml:space="preserve">the distribution of labour incomes </w:t>
      </w:r>
      <w:r w:rsidR="009E2771" w:rsidRPr="00BB3D77">
        <w:t>matching</w:t>
      </w:r>
      <w:r w:rsidR="00910D33" w:rsidRPr="00BB3D77">
        <w:t xml:space="preserve"> full-time equivalent jobs </w:t>
      </w:r>
      <w:r w:rsidR="000E77F1" w:rsidRPr="00BB3D77">
        <w:t>from our impact assessment</w:t>
      </w:r>
      <w:r w:rsidR="009E2771" w:rsidRPr="00BB3D77">
        <w:t>’s off-reserve component</w:t>
      </w:r>
      <w:r w:rsidR="00977001" w:rsidRPr="00BB3D77">
        <w:t>.</w:t>
      </w:r>
      <w:r w:rsidR="00056A52" w:rsidRPr="00BB3D77">
        <w:t xml:space="preserve"> </w:t>
      </w:r>
      <w:r w:rsidR="00977001" w:rsidRPr="00BB3D77">
        <w:t>T</w:t>
      </w:r>
      <w:r w:rsidR="0022240D" w:rsidRPr="00BB3D77">
        <w:t xml:space="preserve">he results show that </w:t>
      </w:r>
      <w:r w:rsidR="00910D33" w:rsidRPr="00BB3D77">
        <w:t>75</w:t>
      </w:r>
      <w:r w:rsidR="00EA2FCC" w:rsidRPr="00BB3D77">
        <w:t xml:space="preserve"> per cent</w:t>
      </w:r>
      <w:r w:rsidR="002109D4" w:rsidRPr="00BB3D77">
        <w:t xml:space="preserve"> of </w:t>
      </w:r>
      <w:r w:rsidR="009E2771" w:rsidRPr="00BB3D77">
        <w:t xml:space="preserve">off-reserve </w:t>
      </w:r>
      <w:r w:rsidR="002109D4" w:rsidRPr="00BB3D77">
        <w:t xml:space="preserve">Indigenous workers in the </w:t>
      </w:r>
      <w:r w:rsidR="006E748D">
        <w:t>IFI</w:t>
      </w:r>
      <w:r w:rsidR="00E106FD" w:rsidRPr="00BB3D77">
        <w:t xml:space="preserve">-driven direct employment scenario </w:t>
      </w:r>
      <w:r w:rsidR="002109D4" w:rsidRPr="00BB3D77">
        <w:t xml:space="preserve">would report high or medium food security, while </w:t>
      </w:r>
      <w:r w:rsidR="00910D33" w:rsidRPr="00BB3D77">
        <w:t>59</w:t>
      </w:r>
      <w:r w:rsidR="00EA2FCC" w:rsidRPr="00BB3D77">
        <w:t xml:space="preserve"> per cent</w:t>
      </w:r>
      <w:r w:rsidR="002109D4" w:rsidRPr="00BB3D77">
        <w:t xml:space="preserve"> of unemployed people from similar backgrounds would. </w:t>
      </w:r>
      <w:r w:rsidR="00CC2024" w:rsidRPr="00BB3D77">
        <w:t>Se</w:t>
      </w:r>
      <w:r w:rsidR="00D962DD" w:rsidRPr="00BB3D77">
        <w:t xml:space="preserve">e </w:t>
      </w:r>
      <w:r w:rsidR="009E2771" w:rsidRPr="00BB3D77">
        <w:fldChar w:fldCharType="begin"/>
      </w:r>
      <w:r w:rsidR="009E2771" w:rsidRPr="00BB3D77">
        <w:instrText xml:space="preserve"> REF _Ref132138738 \h </w:instrText>
      </w:r>
      <w:r w:rsidR="00BB3D77">
        <w:instrText xml:space="preserve"> \* MERGEFORMAT </w:instrText>
      </w:r>
      <w:r w:rsidR="009E2771" w:rsidRPr="00BB3D77">
        <w:fldChar w:fldCharType="separate"/>
      </w:r>
      <w:r w:rsidR="00220F3D" w:rsidRPr="00BB3D77">
        <w:t xml:space="preserve">Chart </w:t>
      </w:r>
      <w:r w:rsidR="00220F3D">
        <w:rPr>
          <w:noProof/>
        </w:rPr>
        <w:t>6</w:t>
      </w:r>
      <w:r w:rsidR="009E2771" w:rsidRPr="00BB3D77">
        <w:fldChar w:fldCharType="end"/>
      </w:r>
      <w:r w:rsidR="00CC2024" w:rsidRPr="00BB3D77">
        <w:fldChar w:fldCharType="begin"/>
      </w:r>
      <w:r w:rsidR="00CC2024" w:rsidRPr="00BB3D77">
        <w:instrText xml:space="preserve"> REF _Ref110774856 \h </w:instrText>
      </w:r>
      <w:r w:rsidR="0089364D" w:rsidRPr="00BB3D77">
        <w:instrText xml:space="preserve"> \* MERGEFORMAT </w:instrText>
      </w:r>
      <w:r w:rsidR="00000000">
        <w:fldChar w:fldCharType="separate"/>
      </w:r>
      <w:r w:rsidR="00220F3D">
        <w:rPr>
          <w:b/>
          <w:bCs/>
          <w:lang w:val="en-US"/>
        </w:rPr>
        <w:t>Error! Reference source not found.</w:t>
      </w:r>
      <w:r w:rsidR="00CC2024" w:rsidRPr="00BB3D77">
        <w:fldChar w:fldCharType="end"/>
      </w:r>
      <w:r w:rsidR="00CC2024" w:rsidRPr="00BB3D77">
        <w:t>.</w:t>
      </w:r>
    </w:p>
    <w:p w14:paraId="12B847DA" w14:textId="439B42A0" w:rsidR="009E2771" w:rsidRPr="00BB3D77" w:rsidRDefault="009E2771" w:rsidP="009E2771">
      <w:pPr>
        <w:pStyle w:val="Chart"/>
      </w:pPr>
      <w:bookmarkStart w:id="43" w:name="_Ref132138738"/>
      <w:r w:rsidRPr="00BB3D77">
        <w:t xml:space="preserve">Chart </w:t>
      </w:r>
      <w:r w:rsidR="00F4140C">
        <w:fldChar w:fldCharType="begin"/>
      </w:r>
      <w:r w:rsidR="00F4140C">
        <w:instrText xml:space="preserve"> SEQ Chart \* ARABIC </w:instrText>
      </w:r>
      <w:r w:rsidR="00F4140C">
        <w:fldChar w:fldCharType="separate"/>
      </w:r>
      <w:r w:rsidR="00220F3D">
        <w:rPr>
          <w:noProof/>
        </w:rPr>
        <w:t>6</w:t>
      </w:r>
      <w:r w:rsidR="00F4140C">
        <w:rPr>
          <w:noProof/>
        </w:rPr>
        <w:fldChar w:fldCharType="end"/>
      </w:r>
      <w:bookmarkEnd w:id="43"/>
      <w:r w:rsidRPr="00BB3D77">
        <w:t xml:space="preserve">: </w:t>
      </w:r>
    </w:p>
    <w:p w14:paraId="3A87E091" w14:textId="0A55A56F" w:rsidR="009E2771" w:rsidRPr="00BB3D77" w:rsidRDefault="009E2771" w:rsidP="009E2771">
      <w:pPr>
        <w:pStyle w:val="Chart"/>
      </w:pPr>
      <w:r w:rsidRPr="00BB3D77">
        <w:t>Simulation results for self-reported food security (off-reserve)</w:t>
      </w:r>
    </w:p>
    <w:p w14:paraId="7096474C" w14:textId="77777777" w:rsidR="009E2771" w:rsidRPr="00BB3D77" w:rsidRDefault="009E2771" w:rsidP="009E2771">
      <w:pPr>
        <w:pStyle w:val="Chart"/>
      </w:pPr>
    </w:p>
    <w:p w14:paraId="0A9872EB" w14:textId="43D3F34F" w:rsidR="00287371" w:rsidRPr="00BB3D77" w:rsidRDefault="00287371" w:rsidP="00D962DD">
      <w:pPr>
        <w:pStyle w:val="Chart"/>
      </w:pPr>
      <w:r w:rsidRPr="00BB3D77">
        <w:rPr>
          <w:noProof/>
        </w:rPr>
        <w:drawing>
          <wp:inline distT="0" distB="0" distL="0" distR="0" wp14:anchorId="3529EF4C" wp14:editId="12F6B2C9">
            <wp:extent cx="5778000" cy="3463200"/>
            <wp:effectExtent l="0" t="0" r="13335" b="4445"/>
            <wp:docPr id="4" name="Chart 4">
              <a:extLst xmlns:a="http://schemas.openxmlformats.org/drawingml/2006/main">
                <a:ext uri="{FF2B5EF4-FFF2-40B4-BE49-F238E27FC236}">
                  <a16:creationId xmlns:a16="http://schemas.microsoft.com/office/drawing/2014/main" id="{3A5222D9-96B8-2D28-97B9-DFD4F1943B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1C76F70" w14:textId="77777777" w:rsidR="00D962DD" w:rsidRPr="00BB3D77" w:rsidRDefault="00D962DD" w:rsidP="00D962DD">
      <w:pPr>
        <w:pStyle w:val="Body"/>
        <w:spacing w:before="240"/>
        <w:rPr>
          <w:rStyle w:val="ChartSourceChar"/>
        </w:rPr>
      </w:pPr>
      <w:r w:rsidRPr="00BB3D77">
        <w:rPr>
          <w:rStyle w:val="ChartSourceChar"/>
        </w:rPr>
        <w:t>Source: NACCA, The Conference Board of Canada</w:t>
      </w:r>
    </w:p>
    <w:p w14:paraId="48F798B3" w14:textId="77777777" w:rsidR="000E77F1" w:rsidRPr="00BB3D77" w:rsidRDefault="000E77F1" w:rsidP="002109D4">
      <w:pPr>
        <w:pStyle w:val="Body"/>
      </w:pPr>
    </w:p>
    <w:p w14:paraId="2D0EA7BE" w14:textId="425610D0" w:rsidR="000F3A8B" w:rsidRPr="00BB3D77" w:rsidRDefault="00BE1896" w:rsidP="00C13735">
      <w:pPr>
        <w:pStyle w:val="Heading4"/>
      </w:pPr>
      <w:bookmarkStart w:id="44" w:name="_Toc136865096"/>
      <w:r w:rsidRPr="00BB3D77">
        <w:lastRenderedPageBreak/>
        <w:t xml:space="preserve">Employment Income and </w:t>
      </w:r>
      <w:r w:rsidR="009E5140">
        <w:t>s</w:t>
      </w:r>
      <w:r w:rsidR="000F3A8B" w:rsidRPr="00BB3D77">
        <w:t xml:space="preserve">elf-rated </w:t>
      </w:r>
      <w:r w:rsidR="009E5140">
        <w:t>h</w:t>
      </w:r>
      <w:r w:rsidR="000F3A8B" w:rsidRPr="00BB3D77">
        <w:t xml:space="preserve">ealth </w:t>
      </w:r>
      <w:r w:rsidR="00D53C76" w:rsidRPr="00BB3D77">
        <w:t xml:space="preserve">and </w:t>
      </w:r>
      <w:r w:rsidR="009E5140">
        <w:t>m</w:t>
      </w:r>
      <w:r w:rsidR="00D53C76" w:rsidRPr="00BB3D77">
        <w:t xml:space="preserve">ental </w:t>
      </w:r>
      <w:r w:rsidR="009E5140">
        <w:t>h</w:t>
      </w:r>
      <w:r w:rsidR="00D53C76" w:rsidRPr="00BB3D77">
        <w:t xml:space="preserve">ealth </w:t>
      </w:r>
      <w:r w:rsidR="009E5140">
        <w:t>s</w:t>
      </w:r>
      <w:r w:rsidR="000F3A8B" w:rsidRPr="00BB3D77">
        <w:t>tatus</w:t>
      </w:r>
      <w:bookmarkEnd w:id="44"/>
    </w:p>
    <w:p w14:paraId="499E4579" w14:textId="77777777" w:rsidR="00B82522" w:rsidRPr="00BB3D77" w:rsidRDefault="00B82522" w:rsidP="00B82522">
      <w:pPr>
        <w:pStyle w:val="Body"/>
      </w:pPr>
      <w:r w:rsidRPr="00BB3D77">
        <w:t>The 2017 Aboriginal Peoples Survey asked respondents to report on their self-perceived health and mental health status using a series of questions that aimed to capture a comprehensive view of their overall wellbeing. The survey sought to collect data on the experiences and perceptions of Indigenous peoples living off-reserve in Canada with respect to their physical and mental health.</w:t>
      </w:r>
    </w:p>
    <w:p w14:paraId="3150CF5C" w14:textId="45F3FD67" w:rsidR="00B82522" w:rsidRPr="00BB3D77" w:rsidRDefault="00650E95" w:rsidP="00B82522">
      <w:pPr>
        <w:pStyle w:val="Body"/>
      </w:pPr>
      <w:r w:rsidRPr="00BB3D77">
        <w:t>R</w:t>
      </w:r>
      <w:r w:rsidR="00B82522" w:rsidRPr="00BB3D77">
        <w:t>espondents were asked to rate their overall health status on a scale from excellent to poor. They were also asked about any limitations they experienced in their daily activities due to physical or mental health problems.</w:t>
      </w:r>
    </w:p>
    <w:p w14:paraId="7CA7A5CC" w14:textId="3678A556" w:rsidR="00B22A5B" w:rsidRPr="00BB3D77" w:rsidRDefault="00B82522" w:rsidP="00B82522">
      <w:pPr>
        <w:pStyle w:val="Body"/>
      </w:pPr>
      <w:r w:rsidRPr="00BB3D77">
        <w:t>Next, the survey asked about mental health status. Respondents were asked to rate their level of happiness and satisfaction with life, as well as their experiences with symptoms of depression and anxiety. They were also asked about any barriers they faced in accessing mental health care services.</w:t>
      </w:r>
    </w:p>
    <w:p w14:paraId="1B670631" w14:textId="38FDB785" w:rsidR="000F3A8B" w:rsidRPr="00BB3D77" w:rsidRDefault="00977001" w:rsidP="000F3A8B">
      <w:pPr>
        <w:pStyle w:val="Body"/>
      </w:pPr>
      <w:bookmarkStart w:id="45" w:name="_Hlk132138863"/>
      <w:r w:rsidRPr="00BB3D77">
        <w:t xml:space="preserve">Our simulation then explored how the sampled off-reserve </w:t>
      </w:r>
      <w:r w:rsidR="009E2771" w:rsidRPr="00BB3D77">
        <w:t>labour force’s</w:t>
      </w:r>
      <w:r w:rsidRPr="00BB3D77">
        <w:t xml:space="preserve"> self-</w:t>
      </w:r>
      <w:r w:rsidR="009E2771" w:rsidRPr="00BB3D77">
        <w:t>rated health and mental health status</w:t>
      </w:r>
      <w:r w:rsidRPr="00BB3D77">
        <w:t xml:space="preserve"> varied by employment </w:t>
      </w:r>
      <w:r w:rsidR="009E2771" w:rsidRPr="00BB3D77">
        <w:t xml:space="preserve">and labour </w:t>
      </w:r>
      <w:r w:rsidRPr="00BB3D77">
        <w:t xml:space="preserve">income. </w:t>
      </w:r>
      <w:r w:rsidR="009E2771" w:rsidRPr="00BB3D77">
        <w:t xml:space="preserve">Charts 7 and 8 present simulation results for the distribution of labour incomes matching full-time equivalent jobs from our impact assessment’s off-reserve component. The results in Chart 7 show that 86 per cent of off-reserve Indigenous workers in the </w:t>
      </w:r>
      <w:r w:rsidR="006E748D">
        <w:t>IFI</w:t>
      </w:r>
      <w:r w:rsidR="009E2771" w:rsidRPr="00BB3D77">
        <w:t>-driven direct employment scenario would report excellent to good health</w:t>
      </w:r>
      <w:r w:rsidR="00650E95" w:rsidRPr="00BB3D77">
        <w:t xml:space="preserve"> compared to</w:t>
      </w:r>
      <w:r w:rsidR="009E2771" w:rsidRPr="00BB3D77">
        <w:t xml:space="preserve"> 71 per cent of unemployed people from similar backgrounds</w:t>
      </w:r>
      <w:bookmarkEnd w:id="45"/>
      <w:r w:rsidR="00BB6DBD" w:rsidRPr="00BB3D77">
        <w:t>.</w:t>
      </w:r>
    </w:p>
    <w:p w14:paraId="2830C8F1" w14:textId="045CD46E" w:rsidR="00BB6DBD" w:rsidRPr="00BB3D77" w:rsidRDefault="00BB6DBD" w:rsidP="00BB6DBD">
      <w:pPr>
        <w:pStyle w:val="Chart"/>
      </w:pPr>
      <w:bookmarkStart w:id="46" w:name="_Ref132036181"/>
      <w:r w:rsidRPr="00BB3D77">
        <w:t xml:space="preserve">Chart </w:t>
      </w:r>
      <w:r w:rsidR="00F4140C">
        <w:fldChar w:fldCharType="begin"/>
      </w:r>
      <w:r w:rsidR="00F4140C">
        <w:instrText xml:space="preserve"> SEQ Chart \* ARABIC </w:instrText>
      </w:r>
      <w:r w:rsidR="00F4140C">
        <w:fldChar w:fldCharType="separate"/>
      </w:r>
      <w:r w:rsidR="00220F3D">
        <w:rPr>
          <w:noProof/>
        </w:rPr>
        <w:t>7</w:t>
      </w:r>
      <w:r w:rsidR="00F4140C">
        <w:rPr>
          <w:noProof/>
        </w:rPr>
        <w:fldChar w:fldCharType="end"/>
      </w:r>
      <w:bookmarkEnd w:id="46"/>
      <w:r w:rsidRPr="00BB3D77">
        <w:t xml:space="preserve">: </w:t>
      </w:r>
    </w:p>
    <w:p w14:paraId="20D0B6D8" w14:textId="0C796553" w:rsidR="00BB6DBD" w:rsidRPr="00BB3D77" w:rsidRDefault="00BB6DBD" w:rsidP="00BB6DBD">
      <w:pPr>
        <w:pStyle w:val="Chart"/>
      </w:pPr>
      <w:r w:rsidRPr="00BB3D77">
        <w:t>Simulation results for self-reported health status (off-reserve)</w:t>
      </w:r>
    </w:p>
    <w:p w14:paraId="7F4B09B2" w14:textId="5469673A" w:rsidR="00D962DD" w:rsidRPr="00BB3D77" w:rsidRDefault="00287371" w:rsidP="00D962DD">
      <w:pPr>
        <w:pStyle w:val="Chart"/>
      </w:pPr>
      <w:r w:rsidRPr="00BB3D77">
        <w:rPr>
          <w:noProof/>
        </w:rPr>
        <w:lastRenderedPageBreak/>
        <w:drawing>
          <wp:inline distT="0" distB="0" distL="0" distR="0" wp14:anchorId="6AAA0831" wp14:editId="1D357FA5">
            <wp:extent cx="5778000" cy="3463200"/>
            <wp:effectExtent l="0" t="0" r="13335" b="4445"/>
            <wp:docPr id="8" name="Chart 8">
              <a:extLst xmlns:a="http://schemas.openxmlformats.org/drawingml/2006/main">
                <a:ext uri="{FF2B5EF4-FFF2-40B4-BE49-F238E27FC236}">
                  <a16:creationId xmlns:a16="http://schemas.microsoft.com/office/drawing/2014/main" id="{C2320013-FA8A-3D05-419A-0CFCBAC85E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BDF7B4F" w14:textId="52FDA5BB" w:rsidR="00D962DD" w:rsidRPr="00BB3D77" w:rsidRDefault="00D962DD" w:rsidP="000F3A8B">
      <w:pPr>
        <w:pStyle w:val="Body"/>
      </w:pPr>
      <w:r w:rsidRPr="00BB3D77">
        <w:rPr>
          <w:rStyle w:val="ChartSourceChar"/>
        </w:rPr>
        <w:t>Source: NACCA, The Conference Board of Canada</w:t>
      </w:r>
    </w:p>
    <w:p w14:paraId="34E8B66B" w14:textId="684971C0" w:rsidR="009E2771" w:rsidRPr="00BB3D77" w:rsidRDefault="009E2771" w:rsidP="00ED32E5">
      <w:pPr>
        <w:pStyle w:val="Body"/>
        <w:spacing w:before="360"/>
      </w:pPr>
      <w:r w:rsidRPr="00BB3D77">
        <w:t xml:space="preserve">The results in Chart 8 show that 86 per cent of off-reserve Indigenous workers in the </w:t>
      </w:r>
      <w:r w:rsidR="006E748D">
        <w:t>IFI</w:t>
      </w:r>
      <w:r w:rsidRPr="00BB3D77">
        <w:t>-driven direct employment scenario would report excellent to good mental health</w:t>
      </w:r>
      <w:r w:rsidR="00650E95" w:rsidRPr="00BB3D77">
        <w:t xml:space="preserve"> compared to</w:t>
      </w:r>
      <w:r w:rsidRPr="00BB3D77">
        <w:t xml:space="preserve"> 74 per cent of unemployed people from similar backgrounds.</w:t>
      </w:r>
    </w:p>
    <w:p w14:paraId="046CCA44" w14:textId="04C4AD46" w:rsidR="00BB6DBD" w:rsidRPr="00BB3D77" w:rsidRDefault="00BB6DBD" w:rsidP="00BB6DBD">
      <w:pPr>
        <w:pStyle w:val="Chart"/>
      </w:pPr>
      <w:bookmarkStart w:id="47" w:name="_Ref132036241"/>
      <w:r w:rsidRPr="00BB3D77">
        <w:t xml:space="preserve">Chart </w:t>
      </w:r>
      <w:r w:rsidR="00F4140C">
        <w:fldChar w:fldCharType="begin"/>
      </w:r>
      <w:r w:rsidR="00F4140C">
        <w:instrText xml:space="preserve"> SEQ Chart \* ARABIC </w:instrText>
      </w:r>
      <w:r w:rsidR="00F4140C">
        <w:fldChar w:fldCharType="separate"/>
      </w:r>
      <w:r w:rsidR="00220F3D">
        <w:rPr>
          <w:noProof/>
        </w:rPr>
        <w:t>8</w:t>
      </w:r>
      <w:r w:rsidR="00F4140C">
        <w:rPr>
          <w:noProof/>
        </w:rPr>
        <w:fldChar w:fldCharType="end"/>
      </w:r>
      <w:bookmarkEnd w:id="47"/>
      <w:r w:rsidRPr="00BB3D77">
        <w:t xml:space="preserve">: </w:t>
      </w:r>
    </w:p>
    <w:p w14:paraId="23CB73DD" w14:textId="4A5044D0" w:rsidR="00BB6DBD" w:rsidRPr="00BB3D77" w:rsidRDefault="00BB6DBD" w:rsidP="00BB6DBD">
      <w:pPr>
        <w:pStyle w:val="Chart"/>
      </w:pPr>
      <w:r w:rsidRPr="00BB3D77">
        <w:t>Simulation results for self-reported mental health status (off-reserve)</w:t>
      </w:r>
    </w:p>
    <w:p w14:paraId="0231F932" w14:textId="4A4E4B53" w:rsidR="00D962DD" w:rsidRPr="00BB3D77" w:rsidRDefault="00BB6DBD" w:rsidP="00D962DD">
      <w:pPr>
        <w:pStyle w:val="Chart"/>
      </w:pPr>
      <w:r w:rsidRPr="00BB3D77">
        <w:rPr>
          <w:noProof/>
        </w:rPr>
        <w:lastRenderedPageBreak/>
        <w:drawing>
          <wp:inline distT="0" distB="0" distL="0" distR="0" wp14:anchorId="38AC9B93" wp14:editId="286EA061">
            <wp:extent cx="5778000" cy="3463200"/>
            <wp:effectExtent l="0" t="0" r="13335" b="4445"/>
            <wp:docPr id="10" name="Chart 10">
              <a:extLst xmlns:a="http://schemas.openxmlformats.org/drawingml/2006/main">
                <a:ext uri="{FF2B5EF4-FFF2-40B4-BE49-F238E27FC236}">
                  <a16:creationId xmlns:a16="http://schemas.microsoft.com/office/drawing/2014/main" id="{2103D7A1-5EDE-06F7-3752-C0BA53AA8F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115FFD" w14:textId="77777777" w:rsidR="00D962DD" w:rsidRPr="00BB3D77" w:rsidRDefault="00D962DD" w:rsidP="00D962DD">
      <w:pPr>
        <w:pStyle w:val="Body"/>
      </w:pPr>
      <w:r w:rsidRPr="00BB3D77">
        <w:rPr>
          <w:rStyle w:val="ChartSourceChar"/>
        </w:rPr>
        <w:t>Source: NACCA, The Conference Board of Canada</w:t>
      </w:r>
    </w:p>
    <w:p w14:paraId="34CCDA33" w14:textId="3F288A51" w:rsidR="00BB6DBD" w:rsidRPr="00BB3D77" w:rsidRDefault="00C02D31" w:rsidP="00BB6DBD">
      <w:pPr>
        <w:pStyle w:val="Heading4"/>
      </w:pPr>
      <w:bookmarkStart w:id="48" w:name="_Toc136865097"/>
      <w:r w:rsidRPr="00BB3D77">
        <w:t>Employment i</w:t>
      </w:r>
      <w:r w:rsidR="00725AE9" w:rsidRPr="00BB3D77">
        <w:t>ncome</w:t>
      </w:r>
      <w:r w:rsidRPr="00BB3D77">
        <w:t xml:space="preserve">, </w:t>
      </w:r>
      <w:r w:rsidR="009E5140">
        <w:t>h</w:t>
      </w:r>
      <w:r w:rsidR="00725AE9" w:rsidRPr="00BB3D77">
        <w:t>ousing</w:t>
      </w:r>
      <w:r w:rsidR="00BB6DBD" w:rsidRPr="00BB3D77">
        <w:t xml:space="preserve"> </w:t>
      </w:r>
      <w:r w:rsidR="009E5140">
        <w:t>s</w:t>
      </w:r>
      <w:r w:rsidR="00725AE9" w:rsidRPr="00BB3D77">
        <w:t>atisfaction</w:t>
      </w:r>
      <w:r w:rsidR="00BB6DBD" w:rsidRPr="00BB3D77">
        <w:t xml:space="preserve"> and </w:t>
      </w:r>
      <w:r w:rsidR="009E5140">
        <w:t>h</w:t>
      </w:r>
      <w:r w:rsidR="00BB6DBD" w:rsidRPr="00BB3D77">
        <w:t xml:space="preserve">ousing </w:t>
      </w:r>
      <w:r w:rsidR="009E5140">
        <w:t>s</w:t>
      </w:r>
      <w:r w:rsidR="00BB6DBD" w:rsidRPr="00BB3D77">
        <w:t>uitability</w:t>
      </w:r>
      <w:bookmarkEnd w:id="48"/>
    </w:p>
    <w:p w14:paraId="78D60494" w14:textId="77777777" w:rsidR="00B82522" w:rsidRPr="00BB3D77" w:rsidRDefault="00B82522" w:rsidP="00B82522">
      <w:pPr>
        <w:pStyle w:val="Body"/>
      </w:pPr>
      <w:r w:rsidRPr="00BB3D77">
        <w:t>The 2017 Aboriginal Peoples Survey asked respondents to report on their level of housing satisfaction through a series of questions that aimed to capture their experiences and perceptions of their housing situation. The survey sought to collect data on the housing conditions of Indigenous peoples living off-reserve in Canada and their views on housing-related issues.</w:t>
      </w:r>
    </w:p>
    <w:p w14:paraId="091541EA" w14:textId="5FAC93DC" w:rsidR="00B82522" w:rsidRPr="00BB3D77" w:rsidRDefault="00B82522" w:rsidP="00B82522">
      <w:pPr>
        <w:pStyle w:val="Body"/>
      </w:pPr>
      <w:r w:rsidRPr="00BB3D77">
        <w:t>To begin, respondents were asked to rate their overall satisfaction with their housing situation, including their living conditions and the overall quality of their housing. They were also asked about their access to basic amenities such as clean water, electricity, and heating.</w:t>
      </w:r>
    </w:p>
    <w:p w14:paraId="2F9D5E11" w14:textId="77777777" w:rsidR="00F71523" w:rsidRPr="00BB3D77" w:rsidRDefault="00B82522" w:rsidP="000006C7">
      <w:pPr>
        <w:pStyle w:val="Body"/>
      </w:pPr>
      <w:r w:rsidRPr="00BB3D77">
        <w:t>The survey also included questions related to the affordability of housing, including the proportion of their income spent on housing costs, any difficulties they had faced in finding affordable housing, and any experiences with eviction or housing insecurity.</w:t>
      </w:r>
      <w:r w:rsidR="00F71523" w:rsidRPr="00BB3D77">
        <w:t xml:space="preserve"> </w:t>
      </w:r>
    </w:p>
    <w:p w14:paraId="7742C219" w14:textId="11DB988C" w:rsidR="00F71523" w:rsidRPr="00BB3D77" w:rsidRDefault="00F71523" w:rsidP="000006C7">
      <w:pPr>
        <w:pStyle w:val="Body"/>
      </w:pPr>
      <w:r w:rsidRPr="00BB3D77">
        <w:t xml:space="preserve">The APS’s resulting housing satisfaction variable – from dissatisfied to very satisfied – was then used as an input to the simulation model. For this variable the simulation explored how the sampled off-reserve labour force’s self-reported housing satisfaction varied by employment and income groups. Chart 9 presents simulation results for the distribution of labour incomes matching full-time equivalent jobs from our impact assessment’s off-reserve component. The </w:t>
      </w:r>
      <w:r w:rsidRPr="00BB3D77">
        <w:lastRenderedPageBreak/>
        <w:t xml:space="preserve">results show that 88 per cent of off-reserve Indigenous workers in the </w:t>
      </w:r>
      <w:r w:rsidR="006E748D">
        <w:t>IFI</w:t>
      </w:r>
      <w:r w:rsidRPr="00BB3D77">
        <w:t>-driven direct employment scenario reported being satisfied or very satisfied with their housing situation versus 74 per cent of unemployed people from similar backgrounds.</w:t>
      </w:r>
    </w:p>
    <w:p w14:paraId="04A2F1A5" w14:textId="7BA5C085" w:rsidR="00BB6DBD" w:rsidRPr="00BB3D77" w:rsidRDefault="00BB6DBD" w:rsidP="00BB6DBD">
      <w:pPr>
        <w:pStyle w:val="Chart"/>
      </w:pPr>
      <w:bookmarkStart w:id="49" w:name="_Ref132036290"/>
      <w:r w:rsidRPr="00BB3D77">
        <w:t xml:space="preserve">Chart </w:t>
      </w:r>
      <w:r w:rsidR="00F4140C">
        <w:fldChar w:fldCharType="begin"/>
      </w:r>
      <w:r w:rsidR="00F4140C">
        <w:instrText xml:space="preserve"> SEQ Chart \* ARABIC </w:instrText>
      </w:r>
      <w:r w:rsidR="00F4140C">
        <w:fldChar w:fldCharType="separate"/>
      </w:r>
      <w:r w:rsidR="00220F3D">
        <w:rPr>
          <w:noProof/>
        </w:rPr>
        <w:t>9</w:t>
      </w:r>
      <w:r w:rsidR="00F4140C">
        <w:rPr>
          <w:noProof/>
        </w:rPr>
        <w:fldChar w:fldCharType="end"/>
      </w:r>
      <w:bookmarkEnd w:id="49"/>
      <w:r w:rsidRPr="00BB3D77">
        <w:t xml:space="preserve">: </w:t>
      </w:r>
    </w:p>
    <w:p w14:paraId="7A4987E8" w14:textId="1D91FCFB" w:rsidR="00BB6DBD" w:rsidRPr="00BB3D77" w:rsidRDefault="00BB6DBD" w:rsidP="00BB6DBD">
      <w:pPr>
        <w:pStyle w:val="Chart"/>
      </w:pPr>
      <w:r w:rsidRPr="00BB3D77">
        <w:t>Simulation results for self-reported housing satisfaction (off-reserve)</w:t>
      </w:r>
    </w:p>
    <w:p w14:paraId="4629DC3F" w14:textId="77777777" w:rsidR="00BB6DBD" w:rsidRPr="00BB3D77" w:rsidRDefault="00BB6DBD" w:rsidP="00BB6DBD">
      <w:pPr>
        <w:pStyle w:val="Chart"/>
      </w:pPr>
    </w:p>
    <w:p w14:paraId="27398FFD" w14:textId="7123D9F5" w:rsidR="00BB6DBD" w:rsidRPr="00BB3D77" w:rsidRDefault="00BB6DBD" w:rsidP="000006C7">
      <w:pPr>
        <w:pStyle w:val="Chart"/>
      </w:pPr>
      <w:r w:rsidRPr="00BB3D77">
        <w:rPr>
          <w:noProof/>
        </w:rPr>
        <w:drawing>
          <wp:inline distT="0" distB="0" distL="0" distR="0" wp14:anchorId="076D87B7" wp14:editId="370B6EFF">
            <wp:extent cx="5778000" cy="3463200"/>
            <wp:effectExtent l="0" t="0" r="13335" b="4445"/>
            <wp:docPr id="12" name="Chart 12">
              <a:extLst xmlns:a="http://schemas.openxmlformats.org/drawingml/2006/main">
                <a:ext uri="{FF2B5EF4-FFF2-40B4-BE49-F238E27FC236}">
                  <a16:creationId xmlns:a16="http://schemas.microsoft.com/office/drawing/2014/main" id="{F60FBA08-09A4-60BA-B743-CB3864B0AE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8028C9D" w14:textId="08065114" w:rsidR="000006C7" w:rsidRPr="00BB3D77" w:rsidRDefault="000006C7" w:rsidP="000006C7">
      <w:pPr>
        <w:pStyle w:val="Body"/>
      </w:pPr>
      <w:r w:rsidRPr="00BB3D77">
        <w:rPr>
          <w:rStyle w:val="ChartSourceChar"/>
        </w:rPr>
        <w:t>Source: NACCA, The Conference Board of Canada</w:t>
      </w:r>
    </w:p>
    <w:p w14:paraId="3569F193" w14:textId="4DF542A9" w:rsidR="00725AE9" w:rsidRPr="00BB3D77" w:rsidRDefault="000006C7" w:rsidP="00C645C4">
      <w:pPr>
        <w:pStyle w:val="Body"/>
        <w:spacing w:before="360"/>
      </w:pPr>
      <w:r w:rsidRPr="00BB3D77">
        <w:t>A</w:t>
      </w:r>
      <w:r w:rsidR="00650E95" w:rsidRPr="00BB3D77">
        <w:t>dditional context around</w:t>
      </w:r>
      <w:r w:rsidRPr="00BB3D77">
        <w:t xml:space="preserve"> housing </w:t>
      </w:r>
      <w:r w:rsidR="00650E95" w:rsidRPr="00BB3D77">
        <w:t>conditions</w:t>
      </w:r>
      <w:r w:rsidRPr="00BB3D77">
        <w:t xml:space="preserve"> is available from census data</w:t>
      </w:r>
      <w:r w:rsidR="00C73E67" w:rsidRPr="00BB3D77">
        <w:t xml:space="preserve"> including for on-reserve populations and Inuit Nunangat</w:t>
      </w:r>
      <w:r w:rsidR="00725AE9" w:rsidRPr="00BB3D77">
        <w:t>. Housing suitability is a concept developed by Statistics Canada and the Canada Mortgage and Housing Corporation (CMHC).  It refers to “whether a private household is living in suitable accommodations according to the National Occupancy Standard (NOS); that is, whether the dwelling has enough bedrooms for the size and composition of the household”.</w:t>
      </w:r>
      <w:r w:rsidR="00725AE9" w:rsidRPr="00BB3D77">
        <w:rPr>
          <w:rStyle w:val="FootnoteReference"/>
        </w:rPr>
        <w:footnoteReference w:id="44"/>
      </w:r>
      <w:r w:rsidR="00725AE9" w:rsidRPr="00BB3D77">
        <w:t xml:space="preserve"> </w:t>
      </w:r>
    </w:p>
    <w:p w14:paraId="3C6559C9" w14:textId="060D4CD8" w:rsidR="00725AE9" w:rsidRPr="00BB3D77" w:rsidRDefault="00725AE9" w:rsidP="00725AE9">
      <w:pPr>
        <w:pStyle w:val="Body"/>
      </w:pPr>
      <w:r w:rsidRPr="00BB3D77">
        <w:t>Based on 2016 Census data summaries from Statistics Canada and the CMHC, the average proportion of First Nations people living in unsuitable housing on-reserve was 36.8 per cent.</w:t>
      </w:r>
      <w:r w:rsidRPr="00BB3D77">
        <w:rPr>
          <w:rStyle w:val="FootnoteReference"/>
        </w:rPr>
        <w:footnoteReference w:id="45"/>
      </w:r>
      <w:r w:rsidRPr="00BB3D77">
        <w:t xml:space="preserve"> </w:t>
      </w:r>
      <w:r w:rsidRPr="00BB3D77">
        <w:lastRenderedPageBreak/>
        <w:t>For Inuit living in Inuit Nunangat that proportion rises to 51.8 per cent mainly due to housing conditions in Nunavut and Nunavik.</w:t>
      </w:r>
      <w:r w:rsidRPr="00BB3D77">
        <w:rPr>
          <w:rStyle w:val="FootnoteReference"/>
        </w:rPr>
        <w:footnoteReference w:id="46"/>
      </w:r>
      <w:r w:rsidRPr="00BB3D77">
        <w:t xml:space="preserve"> These conditions reflect persistent structural issues with the ways core housing needs are addressed on-reserve and in regions such as Nunavut and Nunavik. As we will discuss later in this </w:t>
      </w:r>
      <w:r w:rsidR="00C13735" w:rsidRPr="00BB3D77">
        <w:t>chapter</w:t>
      </w:r>
      <w:r w:rsidRPr="00BB3D77">
        <w:t xml:space="preserve">, </w:t>
      </w:r>
      <w:r w:rsidR="006E748D">
        <w:t>IFI</w:t>
      </w:r>
      <w:r w:rsidRPr="00BB3D77">
        <w:t xml:space="preserve">s such as SOCCA/ABSCAN in Quebec and </w:t>
      </w:r>
      <w:r w:rsidR="002F45EE">
        <w:t>d</w:t>
      </w:r>
      <w:r w:rsidRPr="00BB3D77">
        <w:t>NV in Yukon are supporting innovative new approaches to financing and building homes on-reserve and in the North. Their efforts are helping Indigenous communities work around constraints on public funding, commercial financing, and human resources that negatively impact the supply and quality of homes on-reserve and in the North.</w:t>
      </w:r>
    </w:p>
    <w:p w14:paraId="17325581" w14:textId="77777777" w:rsidR="00725AE9" w:rsidRPr="00BB3D77" w:rsidRDefault="00725AE9" w:rsidP="00725AE9">
      <w:pPr>
        <w:pStyle w:val="Body"/>
      </w:pPr>
      <w:r w:rsidRPr="00BB3D77">
        <w:t>Off-reserve the proportion of unsuitable housing drops to 18.5 which is still higher than the non-Indigenous average of 8.9 per cent.</w:t>
      </w:r>
      <w:r w:rsidRPr="00BB3D77">
        <w:rPr>
          <w:rStyle w:val="FootnoteReference"/>
        </w:rPr>
        <w:footnoteReference w:id="47"/>
      </w:r>
      <w:r w:rsidRPr="00BB3D77">
        <w:t xml:space="preserve"> Inuit living outside of Inuit Nunangat report similar housing experiences to the non-Indigenous population. 2016 Census data indicate that the average proportion of Inuit living in unsuitable housing outside of Inuit Nunangat is 10.9 per cent. For Métis, the comparable proportion is slightly less than that of non-Indigenous people at 8.6 per cent.</w:t>
      </w:r>
      <w:r w:rsidRPr="00BB3D77">
        <w:rPr>
          <w:rStyle w:val="FootnoteReference"/>
        </w:rPr>
        <w:footnoteReference w:id="48"/>
      </w:r>
      <w:r w:rsidRPr="00BB3D77">
        <w:t xml:space="preserve"> </w:t>
      </w:r>
    </w:p>
    <w:p w14:paraId="0106F568" w14:textId="17C3FFDF" w:rsidR="00725AE9" w:rsidRPr="00BB3D77" w:rsidRDefault="00725AE9" w:rsidP="00725AE9">
      <w:pPr>
        <w:pStyle w:val="Body"/>
      </w:pPr>
      <w:r w:rsidRPr="00BB3D77">
        <w:t xml:space="preserve">Among the combined First Nation and Inuit communities that </w:t>
      </w:r>
      <w:r w:rsidR="006E748D">
        <w:t>IFI</w:t>
      </w:r>
      <w:r w:rsidRPr="00BB3D77">
        <w:t xml:space="preserve">’s serve, the average proportion </w:t>
      </w:r>
      <w:r w:rsidR="00C73E67" w:rsidRPr="00BB3D77">
        <w:t xml:space="preserve">of unsuitable housing </w:t>
      </w:r>
      <w:r w:rsidRPr="00BB3D77">
        <w:t>is slightly lower than that reported for First Nations people living off-reserve, at 17.8 per cent, but considerably lower than that reported for populations on-reserve or in Inuit Nunangat.</w:t>
      </w:r>
      <w:r w:rsidRPr="00BB3D77">
        <w:rPr>
          <w:rStyle w:val="FootnoteReference"/>
        </w:rPr>
        <w:footnoteReference w:id="49"/>
      </w:r>
      <w:r w:rsidRPr="00BB3D77">
        <w:t xml:space="preserve">  The averages only go so far in telling the story of housing suitability in Indigenous communities.  Looking back to the communities we profiled in Chapter 2, Statistics Canada calculated that Wendake had a rate of unsuitable housing at 2 per cent, compared to 7 per cent for Whitecap Dakota, and 37 per cent for the small remote First Nations community. While Wendake has one of the lowest rates, the extremes in the opposite direction go as high as 66.7 for one small rural reserve. As with the CWB index, these data reflect vastly different economic realities among the diverse communities </w:t>
      </w:r>
      <w:r w:rsidR="006E748D">
        <w:t>IFI</w:t>
      </w:r>
      <w:r w:rsidRPr="00BB3D77">
        <w:t>s serve.</w:t>
      </w:r>
    </w:p>
    <w:p w14:paraId="6BBF53D4" w14:textId="7288B26A" w:rsidR="00BE3B5F" w:rsidRPr="00BB3D77" w:rsidRDefault="00BE3B5F" w:rsidP="00C13735">
      <w:pPr>
        <w:pStyle w:val="Heading3"/>
      </w:pPr>
      <w:bookmarkStart w:id="50" w:name="_Toc136865098"/>
      <w:r w:rsidRPr="00BB3D77">
        <w:t xml:space="preserve">Case illustrations of </w:t>
      </w:r>
      <w:r w:rsidR="006E748D">
        <w:t>IFI</w:t>
      </w:r>
      <w:r w:rsidRPr="00BB3D77">
        <w:t>-driven investments and community wellbeing</w:t>
      </w:r>
      <w:bookmarkEnd w:id="50"/>
    </w:p>
    <w:p w14:paraId="5DECD994" w14:textId="28D5C112" w:rsidR="00BE3B5F" w:rsidRPr="00BB3D77" w:rsidRDefault="00BE3B5F" w:rsidP="00BE3B5F">
      <w:pPr>
        <w:pStyle w:val="Body"/>
      </w:pPr>
      <w:r w:rsidRPr="00BB3D77">
        <w:t xml:space="preserve">The remainder of this chapter explores a series of cases illustrating how </w:t>
      </w:r>
      <w:r w:rsidR="006E748D">
        <w:t>IFI</w:t>
      </w:r>
      <w:r w:rsidRPr="00BB3D77">
        <w:t xml:space="preserve">-driven investments affect Indigenous community wellbeing in areas such as food security, health and mental health, </w:t>
      </w:r>
      <w:r w:rsidRPr="00BB3D77">
        <w:lastRenderedPageBreak/>
        <w:t xml:space="preserve">and housing. Wherever relevant and possible we present the </w:t>
      </w:r>
      <w:r w:rsidR="00C73E67" w:rsidRPr="00BB3D77">
        <w:t xml:space="preserve">direct </w:t>
      </w:r>
      <w:r w:rsidRPr="00BB3D77">
        <w:t xml:space="preserve">GDP impacts of these </w:t>
      </w:r>
      <w:r w:rsidR="006E748D">
        <w:t>IFI</w:t>
      </w:r>
      <w:r w:rsidRPr="00BB3D77">
        <w:t xml:space="preserve">-driven investments based on our impact assessment discussed in Chapter 1. </w:t>
      </w:r>
    </w:p>
    <w:p w14:paraId="2A87D614" w14:textId="7B7D67ED" w:rsidR="00A02F90" w:rsidRPr="00BB3D77" w:rsidRDefault="00C111FF" w:rsidP="00C13735">
      <w:pPr>
        <w:pStyle w:val="Heading4"/>
      </w:pPr>
      <w:bookmarkStart w:id="51" w:name="_Toc136865099"/>
      <w:r w:rsidRPr="00BB3D77">
        <w:t xml:space="preserve">How </w:t>
      </w:r>
      <w:r w:rsidR="006E748D">
        <w:t>IFI</w:t>
      </w:r>
      <w:r w:rsidR="007C2374" w:rsidRPr="00BB3D77">
        <w:t>s</w:t>
      </w:r>
      <w:r w:rsidRPr="00BB3D77">
        <w:t xml:space="preserve"> </w:t>
      </w:r>
      <w:r w:rsidR="009E5140">
        <w:t>c</w:t>
      </w:r>
      <w:r w:rsidRPr="00BB3D77">
        <w:t>ontribute to</w:t>
      </w:r>
      <w:r w:rsidR="00570571" w:rsidRPr="00BB3D77">
        <w:t xml:space="preserve"> Indigenous </w:t>
      </w:r>
      <w:r w:rsidR="009E5140">
        <w:t>f</w:t>
      </w:r>
      <w:r w:rsidR="00570571" w:rsidRPr="00BB3D77">
        <w:t xml:space="preserve">ood </w:t>
      </w:r>
      <w:r w:rsidR="009E5140">
        <w:t>s</w:t>
      </w:r>
      <w:r w:rsidR="00570571" w:rsidRPr="00BB3D77">
        <w:t>ecurity</w:t>
      </w:r>
      <w:bookmarkEnd w:id="51"/>
    </w:p>
    <w:p w14:paraId="0382E2E3" w14:textId="4D15FA1C" w:rsidR="00A02F90" w:rsidRPr="00BB3D77" w:rsidRDefault="006E748D" w:rsidP="00A02F90">
      <w:pPr>
        <w:pStyle w:val="Body"/>
      </w:pPr>
      <w:r>
        <w:t>IFI</w:t>
      </w:r>
      <w:r w:rsidR="0052680F" w:rsidRPr="00BB3D77">
        <w:t xml:space="preserve"> </w:t>
      </w:r>
      <w:r w:rsidR="00A02F90" w:rsidRPr="00BB3D77">
        <w:t xml:space="preserve">investments also contribute to food security through the specific industries and businesses they target. </w:t>
      </w:r>
      <w:r w:rsidR="00C307DE" w:rsidRPr="00BB3D77">
        <w:t xml:space="preserve">From 2016 to 2021 </w:t>
      </w:r>
      <w:r>
        <w:t>IFI</w:t>
      </w:r>
      <w:r w:rsidR="00AD7841" w:rsidRPr="00BB3D77">
        <w:t>-d</w:t>
      </w:r>
      <w:r w:rsidR="00490A7E" w:rsidRPr="00BB3D77">
        <w:t>riven</w:t>
      </w:r>
      <w:r w:rsidR="0052680F" w:rsidRPr="00BB3D77">
        <w:t xml:space="preserve"> </w:t>
      </w:r>
      <w:r w:rsidR="00C307DE" w:rsidRPr="00BB3D77">
        <w:t xml:space="preserve">investments had a direct </w:t>
      </w:r>
      <w:r w:rsidR="00D64662" w:rsidRPr="00BB3D77">
        <w:t xml:space="preserve">GDP </w:t>
      </w:r>
      <w:r w:rsidR="00C307DE" w:rsidRPr="00BB3D77">
        <w:t xml:space="preserve">impact of more than $212 million on various </w:t>
      </w:r>
      <w:r w:rsidR="00D64662" w:rsidRPr="00BB3D77">
        <w:t>Indigenous</w:t>
      </w:r>
      <w:r w:rsidR="00910E9D" w:rsidRPr="00BB3D77">
        <w:t xml:space="preserve"> </w:t>
      </w:r>
      <w:r w:rsidR="00AD7841" w:rsidRPr="00BB3D77">
        <w:t>led</w:t>
      </w:r>
      <w:r w:rsidR="00D64662" w:rsidRPr="00BB3D77">
        <w:t xml:space="preserve"> </w:t>
      </w:r>
      <w:r w:rsidR="00C307DE" w:rsidRPr="00BB3D77">
        <w:t xml:space="preserve">food production and food services industries.  </w:t>
      </w:r>
    </w:p>
    <w:p w14:paraId="60D7A789" w14:textId="157D54C7" w:rsidR="00F46EA5" w:rsidRPr="00BB3D77" w:rsidRDefault="00570571" w:rsidP="00A02F90">
      <w:pPr>
        <w:pStyle w:val="Body"/>
      </w:pPr>
      <w:r w:rsidRPr="00BB3D77">
        <w:t xml:space="preserve">Fisheries </w:t>
      </w:r>
      <w:r w:rsidR="00F13AB8" w:rsidRPr="00BB3D77">
        <w:t>are</w:t>
      </w:r>
      <w:r w:rsidRPr="00BB3D77">
        <w:t xml:space="preserve"> a critical </w:t>
      </w:r>
      <w:r w:rsidR="00867607" w:rsidRPr="00BB3D77">
        <w:t>pillar</w:t>
      </w:r>
      <w:r w:rsidRPr="00BB3D77">
        <w:t xml:space="preserve"> of food sovereignty for many Indigenous communities, and most notably coastal First Nations and Inuit. </w:t>
      </w:r>
      <w:r w:rsidR="00640480" w:rsidRPr="00BB3D77">
        <w:t xml:space="preserve">From 2016 to 2021 </w:t>
      </w:r>
      <w:r w:rsidR="006E748D">
        <w:t>IFI</w:t>
      </w:r>
      <w:r w:rsidR="007C2374" w:rsidRPr="00BB3D77">
        <w:t>s</w:t>
      </w:r>
      <w:r w:rsidR="00640480" w:rsidRPr="00BB3D77">
        <w:t xml:space="preserve"> had a direct </w:t>
      </w:r>
      <w:r w:rsidR="00D64662" w:rsidRPr="00BB3D77">
        <w:t xml:space="preserve">GDP </w:t>
      </w:r>
      <w:r w:rsidR="00640480" w:rsidRPr="00BB3D77">
        <w:t xml:space="preserve">impact of more than $37 million on Indigenous led fisheries and seafood product preparation. </w:t>
      </w:r>
      <w:r w:rsidRPr="00BB3D77">
        <w:t xml:space="preserve">Several </w:t>
      </w:r>
      <w:r w:rsidR="006E748D">
        <w:t>IFI</w:t>
      </w:r>
      <w:r w:rsidR="007C2374" w:rsidRPr="00BB3D77">
        <w:t>s</w:t>
      </w:r>
      <w:r w:rsidRPr="00BB3D77">
        <w:t xml:space="preserve"> specialize in supporting Indigenous participation in commercial fisheries, including the Native Fishing </w:t>
      </w:r>
      <w:r w:rsidR="00706619" w:rsidRPr="00BB3D77">
        <w:t>Association</w:t>
      </w:r>
      <w:r w:rsidRPr="00BB3D77">
        <w:t xml:space="preserve"> </w:t>
      </w:r>
      <w:r w:rsidR="00751D35" w:rsidRPr="00BB3D77">
        <w:t xml:space="preserve">(NFA) </w:t>
      </w:r>
      <w:r w:rsidRPr="00BB3D77">
        <w:t xml:space="preserve">in British Columbia, Ulnooweg in Nova Scotia and the Atlantic, and </w:t>
      </w:r>
      <w:r w:rsidR="00640480" w:rsidRPr="00BB3D77">
        <w:t>Atuqtuarvik</w:t>
      </w:r>
      <w:r w:rsidRPr="00BB3D77">
        <w:t xml:space="preserve"> in Nunavut</w:t>
      </w:r>
      <w:r w:rsidR="00D859EB" w:rsidRPr="00BB3D77">
        <w:t xml:space="preserve">. </w:t>
      </w:r>
      <w:r w:rsidR="006E748D">
        <w:t>IFI</w:t>
      </w:r>
      <w:r w:rsidR="007C2374" w:rsidRPr="00BB3D77">
        <w:t>s</w:t>
      </w:r>
      <w:r w:rsidR="000A7038" w:rsidRPr="00BB3D77">
        <w:t xml:space="preserve"> such as NFA and Ulnooweg </w:t>
      </w:r>
      <w:r w:rsidR="00D64662" w:rsidRPr="00BB3D77">
        <w:t xml:space="preserve">have been instrumental in </w:t>
      </w:r>
      <w:r w:rsidR="009806EA" w:rsidRPr="00BB3D77">
        <w:t>helping their</w:t>
      </w:r>
      <w:r w:rsidR="001A54FC" w:rsidRPr="00BB3D77">
        <w:t xml:space="preserve"> communities</w:t>
      </w:r>
      <w:r w:rsidR="004E747D" w:rsidRPr="00BB3D77">
        <w:t>’</w:t>
      </w:r>
      <w:r w:rsidR="001A54FC" w:rsidRPr="00BB3D77">
        <w:t xml:space="preserve"> </w:t>
      </w:r>
      <w:r w:rsidR="00D64662" w:rsidRPr="00BB3D77">
        <w:t>advance Indigenous fishing rights</w:t>
      </w:r>
      <w:r w:rsidR="00F9084B" w:rsidRPr="00BB3D77">
        <w:t xml:space="preserve"> in Canada</w:t>
      </w:r>
      <w:r w:rsidR="00D64662" w:rsidRPr="00BB3D77">
        <w:t>.</w:t>
      </w:r>
      <w:r w:rsidR="00D0646C" w:rsidRPr="00BB3D77">
        <w:rPr>
          <w:rStyle w:val="FootnoteReference"/>
        </w:rPr>
        <w:footnoteReference w:id="50"/>
      </w:r>
      <w:r w:rsidR="00D64662" w:rsidRPr="00BB3D77">
        <w:t xml:space="preserve"> </w:t>
      </w:r>
    </w:p>
    <w:p w14:paraId="51FE2A16" w14:textId="5F5D72DA" w:rsidR="00D859EB" w:rsidRPr="00BB3D77" w:rsidRDefault="00F46EA5" w:rsidP="00A02F90">
      <w:pPr>
        <w:pStyle w:val="Body"/>
      </w:pPr>
      <w:r w:rsidRPr="00BB3D77">
        <w:t>In addition</w:t>
      </w:r>
      <w:r w:rsidR="00434BE7" w:rsidRPr="00BB3D77">
        <w:t>,</w:t>
      </w:r>
      <w:r w:rsidR="00D859EB" w:rsidRPr="00BB3D77">
        <w:t xml:space="preserve"> </w:t>
      </w:r>
      <w:r w:rsidR="008751CE" w:rsidRPr="00BB3D77">
        <w:t xml:space="preserve">several </w:t>
      </w:r>
      <w:r w:rsidR="006E748D">
        <w:t>IFI</w:t>
      </w:r>
      <w:r w:rsidR="007C2374" w:rsidRPr="00BB3D77">
        <w:t>s</w:t>
      </w:r>
      <w:r w:rsidR="008751CE" w:rsidRPr="00BB3D77">
        <w:t xml:space="preserve">, </w:t>
      </w:r>
      <w:r w:rsidR="00D859EB" w:rsidRPr="00BB3D77">
        <w:t>such as Waubetek in Northeastern Ontario</w:t>
      </w:r>
      <w:r w:rsidR="00434BE7" w:rsidRPr="00BB3D77">
        <w:t>,</w:t>
      </w:r>
      <w:r w:rsidR="00D859EB" w:rsidRPr="00BB3D77">
        <w:t xml:space="preserve"> are</w:t>
      </w:r>
      <w:r w:rsidR="00D859EB" w:rsidRPr="00BB3D77">
        <w:footnoteReference w:customMarkFollows="1" w:id="51"/>
        <w:t xml:space="preserve"> working with client communities to develop </w:t>
      </w:r>
      <w:r w:rsidR="008751CE" w:rsidRPr="00BB3D77">
        <w:t xml:space="preserve">and market </w:t>
      </w:r>
      <w:r w:rsidR="00D859EB" w:rsidRPr="00BB3D77">
        <w:t xml:space="preserve">commercial </w:t>
      </w:r>
      <w:r w:rsidR="008751CE" w:rsidRPr="00BB3D77">
        <w:t>systems</w:t>
      </w:r>
      <w:r w:rsidR="00D0646C" w:rsidRPr="00BB3D77">
        <w:t xml:space="preserve"> that integrate aquaculture and hydroponics within </w:t>
      </w:r>
      <w:r w:rsidR="00471D9F" w:rsidRPr="00BB3D77">
        <w:t>innovative</w:t>
      </w:r>
      <w:r w:rsidR="00D0646C" w:rsidRPr="00BB3D77">
        <w:t xml:space="preserve"> </w:t>
      </w:r>
      <w:r w:rsidR="00471D9F" w:rsidRPr="00BB3D77">
        <w:t xml:space="preserve">community-based </w:t>
      </w:r>
      <w:r w:rsidR="00D0646C" w:rsidRPr="00BB3D77">
        <w:t>greenhouse</w:t>
      </w:r>
      <w:r w:rsidR="00471D9F" w:rsidRPr="00BB3D77">
        <w:t>s</w:t>
      </w:r>
      <w:r w:rsidR="00D859EB" w:rsidRPr="00BB3D77">
        <w:t>.</w:t>
      </w:r>
      <w:r w:rsidR="00B06B8A" w:rsidRPr="00BB3D77">
        <w:rPr>
          <w:rStyle w:val="FootnoteReference"/>
        </w:rPr>
        <w:footnoteReference w:id="52"/>
      </w:r>
      <w:r w:rsidR="0002164B" w:rsidRPr="00BB3D77">
        <w:t xml:space="preserve"> Such initiatives </w:t>
      </w:r>
      <w:r w:rsidR="00823060" w:rsidRPr="00BB3D77">
        <w:t>seek to balance</w:t>
      </w:r>
      <w:r w:rsidR="0002164B" w:rsidRPr="00BB3D77">
        <w:t xml:space="preserve"> </w:t>
      </w:r>
      <w:r w:rsidR="00896261" w:rsidRPr="00BB3D77">
        <w:t>business objectives</w:t>
      </w:r>
      <w:r w:rsidR="00823060" w:rsidRPr="00BB3D77">
        <w:t xml:space="preserve"> and marketability</w:t>
      </w:r>
      <w:r w:rsidR="00896261" w:rsidRPr="00BB3D77">
        <w:t xml:space="preserve"> </w:t>
      </w:r>
      <w:r w:rsidR="0002164B" w:rsidRPr="00BB3D77">
        <w:t xml:space="preserve">with </w:t>
      </w:r>
      <w:r w:rsidR="0051063C" w:rsidRPr="00BB3D77">
        <w:t xml:space="preserve">goals to promote </w:t>
      </w:r>
      <w:r w:rsidR="0002164B" w:rsidRPr="00BB3D77">
        <w:t xml:space="preserve">local </w:t>
      </w:r>
      <w:r w:rsidR="00896261" w:rsidRPr="00BB3D77">
        <w:t>employment</w:t>
      </w:r>
      <w:r w:rsidR="00E641D9" w:rsidRPr="00BB3D77">
        <w:t>, sustainability,</w:t>
      </w:r>
      <w:r w:rsidR="00896261" w:rsidRPr="00BB3D77">
        <w:t xml:space="preserve"> and </w:t>
      </w:r>
      <w:r w:rsidR="0002164B" w:rsidRPr="00BB3D77">
        <w:t>community food sovereignty.</w:t>
      </w:r>
    </w:p>
    <w:p w14:paraId="6C778EBA" w14:textId="257F143E" w:rsidR="00FB3A1D" w:rsidRPr="00BB3D77" w:rsidRDefault="00FB3A1D" w:rsidP="00FE5A83">
      <w:pPr>
        <w:pStyle w:val="Heading5"/>
      </w:pPr>
      <w:bookmarkStart w:id="52" w:name="_Toc136865100"/>
      <w:r w:rsidRPr="00BB3D77">
        <w:t>Native Fishing A</w:t>
      </w:r>
      <w:r w:rsidR="00FF6D7F" w:rsidRPr="00BB3D77">
        <w:t>ssociation</w:t>
      </w:r>
      <w:r w:rsidR="006F2063" w:rsidRPr="00BB3D77">
        <w:t>’s License Bank</w:t>
      </w:r>
      <w:bookmarkEnd w:id="52"/>
    </w:p>
    <w:p w14:paraId="455355BA" w14:textId="2B649556" w:rsidR="00F13AB8" w:rsidRPr="00BB3D77" w:rsidRDefault="00F13AB8" w:rsidP="00BA0977">
      <w:pPr>
        <w:pStyle w:val="Body"/>
      </w:pPr>
      <w:r w:rsidRPr="00BB3D77">
        <w:t xml:space="preserve">The NFA </w:t>
      </w:r>
      <w:r w:rsidR="00FB3D85" w:rsidRPr="00BB3D77">
        <w:t>has a mission to increase Indigenous</w:t>
      </w:r>
      <w:r w:rsidRPr="00BB3D77">
        <w:t xml:space="preserve"> participation in </w:t>
      </w:r>
      <w:r w:rsidR="00FB3D85" w:rsidRPr="00BB3D77">
        <w:t xml:space="preserve">British Columbia’s </w:t>
      </w:r>
      <w:r w:rsidRPr="00BB3D77">
        <w:t xml:space="preserve">commercial fishing industry. </w:t>
      </w:r>
      <w:r w:rsidR="00FB3D85" w:rsidRPr="00BB3D77">
        <w:t>As a</w:t>
      </w:r>
      <w:r w:rsidRPr="00BB3D77">
        <w:t xml:space="preserve"> not-for-profit financial lending institution</w:t>
      </w:r>
      <w:r w:rsidR="00FB3D85" w:rsidRPr="00BB3D77">
        <w:t>,</w:t>
      </w:r>
      <w:r w:rsidRPr="00BB3D77">
        <w:t xml:space="preserve"> </w:t>
      </w:r>
      <w:r w:rsidR="00FB3D85" w:rsidRPr="00BB3D77">
        <w:t xml:space="preserve">the </w:t>
      </w:r>
      <w:r w:rsidR="006E748D">
        <w:t>IFI</w:t>
      </w:r>
      <w:r w:rsidR="00FB3D85" w:rsidRPr="00BB3D77">
        <w:t xml:space="preserve"> has </w:t>
      </w:r>
      <w:r w:rsidRPr="00BB3D77">
        <w:t>administer</w:t>
      </w:r>
      <w:r w:rsidR="00FB3D85" w:rsidRPr="00BB3D77">
        <w:t>ed</w:t>
      </w:r>
      <w:r w:rsidRPr="00BB3D77">
        <w:t xml:space="preserve"> a revolving loan fund </w:t>
      </w:r>
      <w:r w:rsidR="00FB3D85" w:rsidRPr="00BB3D77">
        <w:t xml:space="preserve">for </w:t>
      </w:r>
      <w:r w:rsidRPr="00BB3D77">
        <w:t>commercial fisher</w:t>
      </w:r>
      <w:r w:rsidR="00FB3D85" w:rsidRPr="00BB3D77">
        <w:t>s</w:t>
      </w:r>
      <w:r w:rsidRPr="00BB3D77">
        <w:t xml:space="preserve"> since 1985.</w:t>
      </w:r>
      <w:r w:rsidR="008751CE" w:rsidRPr="00BB3D77">
        <w:rPr>
          <w:rStyle w:val="FootnoteReference"/>
        </w:rPr>
        <w:footnoteReference w:id="53"/>
      </w:r>
    </w:p>
    <w:p w14:paraId="7AF55BF1" w14:textId="266E6314" w:rsidR="00F13AB8" w:rsidRPr="00BB3D77" w:rsidRDefault="00F13AB8" w:rsidP="00BA0977">
      <w:pPr>
        <w:pStyle w:val="Body"/>
      </w:pPr>
      <w:r w:rsidRPr="00BB3D77">
        <w:t xml:space="preserve">The NFA </w:t>
      </w:r>
      <w:r w:rsidR="00FB3D85" w:rsidRPr="00BB3D77">
        <w:t xml:space="preserve">designs individual loan programs around the needs and circumstances of </w:t>
      </w:r>
      <w:r w:rsidR="00C36948" w:rsidRPr="00BB3D77">
        <w:t>its</w:t>
      </w:r>
      <w:r w:rsidR="00FB3D85" w:rsidRPr="00BB3D77">
        <w:t xml:space="preserve"> client</w:t>
      </w:r>
      <w:r w:rsidR="00543174" w:rsidRPr="00BB3D77">
        <w:t>s</w:t>
      </w:r>
      <w:r w:rsidR="006F2063" w:rsidRPr="00BB3D77">
        <w:t xml:space="preserve"> based on their experience, business plan</w:t>
      </w:r>
      <w:r w:rsidR="00C36948" w:rsidRPr="00BB3D77">
        <w:t>s</w:t>
      </w:r>
      <w:r w:rsidR="006F2063" w:rsidRPr="00BB3D77">
        <w:t>, and capacit</w:t>
      </w:r>
      <w:r w:rsidR="00C36948" w:rsidRPr="00BB3D77">
        <w:t>ies</w:t>
      </w:r>
      <w:r w:rsidR="006F2063" w:rsidRPr="00BB3D77">
        <w:t xml:space="preserve"> to repay</w:t>
      </w:r>
      <w:r w:rsidR="00FB3D85" w:rsidRPr="00BB3D77">
        <w:t>. L</w:t>
      </w:r>
      <w:r w:rsidRPr="00BB3D77">
        <w:t xml:space="preserve">oans </w:t>
      </w:r>
      <w:r w:rsidR="00FB3D85" w:rsidRPr="00BB3D77">
        <w:t xml:space="preserve">are usually structured </w:t>
      </w:r>
      <w:r w:rsidRPr="00BB3D77">
        <w:t>to be repaid over a period of 3 to 10 years.</w:t>
      </w:r>
      <w:r w:rsidR="00FB3D85" w:rsidRPr="00BB3D77">
        <w:t xml:space="preserve"> </w:t>
      </w:r>
      <w:r w:rsidR="0028627D" w:rsidRPr="00BB3D77">
        <w:t>They</w:t>
      </w:r>
      <w:r w:rsidR="00FB3D85" w:rsidRPr="00BB3D77">
        <w:t xml:space="preserve"> are typically made to help clients </w:t>
      </w:r>
      <w:r w:rsidR="00FB3D85" w:rsidRPr="00BB3D77">
        <w:lastRenderedPageBreak/>
        <w:t>m</w:t>
      </w:r>
      <w:r w:rsidRPr="00BB3D77">
        <w:t>aint</w:t>
      </w:r>
      <w:r w:rsidR="00FB3D85" w:rsidRPr="00BB3D77">
        <w:t>ain</w:t>
      </w:r>
      <w:r w:rsidRPr="00BB3D77">
        <w:t xml:space="preserve"> and </w:t>
      </w:r>
      <w:r w:rsidR="00BA0977" w:rsidRPr="00BB3D77">
        <w:t>improve</w:t>
      </w:r>
      <w:r w:rsidRPr="00BB3D77">
        <w:t xml:space="preserve"> </w:t>
      </w:r>
      <w:r w:rsidR="00BA0977" w:rsidRPr="00BB3D77">
        <w:t xml:space="preserve">fishing </w:t>
      </w:r>
      <w:r w:rsidRPr="00BB3D77">
        <w:t xml:space="preserve">vessels, </w:t>
      </w:r>
      <w:r w:rsidR="00BA0977" w:rsidRPr="00BB3D77">
        <w:t xml:space="preserve">acquire </w:t>
      </w:r>
      <w:r w:rsidRPr="00BB3D77">
        <w:t>licensed vessel</w:t>
      </w:r>
      <w:r w:rsidR="00BA0977" w:rsidRPr="00BB3D77">
        <w:t>s</w:t>
      </w:r>
      <w:r w:rsidRPr="00BB3D77">
        <w:t xml:space="preserve">, </w:t>
      </w:r>
      <w:r w:rsidR="00BA0977" w:rsidRPr="00BB3D77">
        <w:t xml:space="preserve">acquire </w:t>
      </w:r>
      <w:r w:rsidRPr="00BB3D77">
        <w:t>commercial fishing licen</w:t>
      </w:r>
      <w:r w:rsidR="00BA0977" w:rsidRPr="00BB3D77">
        <w:t>s</w:t>
      </w:r>
      <w:r w:rsidRPr="00BB3D77">
        <w:t>e</w:t>
      </w:r>
      <w:r w:rsidR="00BA0977" w:rsidRPr="00BB3D77">
        <w:t>s</w:t>
      </w:r>
      <w:r w:rsidRPr="00BB3D77">
        <w:t xml:space="preserve">, </w:t>
      </w:r>
      <w:r w:rsidR="00BA0977" w:rsidRPr="00BB3D77">
        <w:t>or re-organize debts linked to vessels</w:t>
      </w:r>
      <w:r w:rsidRPr="00BB3D77">
        <w:t>.</w:t>
      </w:r>
      <w:r w:rsidR="008751CE" w:rsidRPr="00BB3D77">
        <w:rPr>
          <w:rStyle w:val="FootnoteReference"/>
        </w:rPr>
        <w:footnoteReference w:id="54"/>
      </w:r>
      <w:r w:rsidRPr="00BB3D77">
        <w:t xml:space="preserve"> </w:t>
      </w:r>
    </w:p>
    <w:p w14:paraId="1DA412F7" w14:textId="6D7EECF5" w:rsidR="006F2063" w:rsidRPr="00BB3D77" w:rsidRDefault="006F2063" w:rsidP="006F2063">
      <w:pPr>
        <w:pStyle w:val="Body"/>
      </w:pPr>
      <w:r w:rsidRPr="00BB3D77">
        <w:t xml:space="preserve">In recent years the NFA has leased out fishing licenses and quota </w:t>
      </w:r>
      <w:r w:rsidR="0028627D" w:rsidRPr="00BB3D77">
        <w:t xml:space="preserve">to </w:t>
      </w:r>
      <w:r w:rsidRPr="00BB3D77">
        <w:t>First Nation fishers, many of whom are</w:t>
      </w:r>
      <w:r w:rsidR="00B039AB" w:rsidRPr="00BB3D77">
        <w:t>,</w:t>
      </w:r>
      <w:r w:rsidRPr="00BB3D77">
        <w:t xml:space="preserve"> or have been</w:t>
      </w:r>
      <w:r w:rsidR="00B039AB" w:rsidRPr="00BB3D77">
        <w:t>, clients of</w:t>
      </w:r>
      <w:r w:rsidRPr="00BB3D77">
        <w:t xml:space="preserve"> </w:t>
      </w:r>
      <w:r w:rsidR="0028627D" w:rsidRPr="00BB3D77">
        <w:t xml:space="preserve">its </w:t>
      </w:r>
      <w:r w:rsidRPr="00BB3D77">
        <w:t xml:space="preserve">financial services. The </w:t>
      </w:r>
      <w:r w:rsidR="006E748D">
        <w:t>IFI</w:t>
      </w:r>
      <w:r w:rsidRPr="00BB3D77">
        <w:t xml:space="preserve"> hopes to </w:t>
      </w:r>
      <w:r w:rsidR="00252B91" w:rsidRPr="00BB3D77">
        <w:t>establish a</w:t>
      </w:r>
      <w:r w:rsidRPr="00BB3D77">
        <w:t xml:space="preserve"> </w:t>
      </w:r>
      <w:r w:rsidR="00E23EDD" w:rsidRPr="00BB3D77">
        <w:t xml:space="preserve">larger </w:t>
      </w:r>
      <w:r w:rsidRPr="00BB3D77">
        <w:t xml:space="preserve">license </w:t>
      </w:r>
      <w:r w:rsidR="00EA3A28" w:rsidRPr="00BB3D77">
        <w:t xml:space="preserve">and quota </w:t>
      </w:r>
      <w:r w:rsidRPr="00BB3D77">
        <w:t xml:space="preserve">bank to help individual fishers and their families </w:t>
      </w:r>
      <w:r w:rsidR="00EA3A28" w:rsidRPr="00BB3D77">
        <w:t>compete in the commercial industry</w:t>
      </w:r>
      <w:r w:rsidRPr="00BB3D77">
        <w:t>.</w:t>
      </w:r>
      <w:r w:rsidR="002B206B" w:rsidRPr="00BB3D77">
        <w:t xml:space="preserve"> </w:t>
      </w:r>
      <w:r w:rsidR="00EA3A28" w:rsidRPr="00BB3D77">
        <w:t>Under</w:t>
      </w:r>
      <w:r w:rsidR="002B206B" w:rsidRPr="00BB3D77">
        <w:t xml:space="preserve"> the current state of </w:t>
      </w:r>
      <w:r w:rsidR="0028627D" w:rsidRPr="00BB3D77">
        <w:t>British Columbia’s</w:t>
      </w:r>
      <w:r w:rsidR="002B206B" w:rsidRPr="00BB3D77">
        <w:t xml:space="preserve"> salmon and herring fisheries, </w:t>
      </w:r>
      <w:r w:rsidR="00EA3A28" w:rsidRPr="00BB3D77">
        <w:t>Indigenous</w:t>
      </w:r>
      <w:r w:rsidR="002B206B" w:rsidRPr="00BB3D77">
        <w:t xml:space="preserve"> harvesters </w:t>
      </w:r>
      <w:r w:rsidR="00EA3A28" w:rsidRPr="00BB3D77">
        <w:t>continue to face</w:t>
      </w:r>
      <w:r w:rsidR="002B206B" w:rsidRPr="00BB3D77">
        <w:t xml:space="preserve"> financial </w:t>
      </w:r>
      <w:r w:rsidR="00EA3A28" w:rsidRPr="00BB3D77">
        <w:t>hardships and escalating costs.</w:t>
      </w:r>
      <w:r w:rsidR="002B206B" w:rsidRPr="00BB3D77">
        <w:t xml:space="preserve"> </w:t>
      </w:r>
      <w:r w:rsidR="00EA3A28" w:rsidRPr="00BB3D77">
        <w:t>Many have sold their existing license and quotas back to the province a</w:t>
      </w:r>
      <w:r w:rsidR="0015293A" w:rsidRPr="00BB3D77">
        <w:t>t the</w:t>
      </w:r>
      <w:r w:rsidR="00EA3A28" w:rsidRPr="00BB3D77">
        <w:t xml:space="preserve"> risk </w:t>
      </w:r>
      <w:r w:rsidR="0015293A" w:rsidRPr="00BB3D77">
        <w:t xml:space="preserve">of </w:t>
      </w:r>
      <w:r w:rsidR="00EA3A28" w:rsidRPr="00BB3D77">
        <w:t xml:space="preserve">losing future </w:t>
      </w:r>
      <w:r w:rsidR="0015293A" w:rsidRPr="00BB3D77">
        <w:t xml:space="preserve">industry </w:t>
      </w:r>
      <w:r w:rsidR="00EA3A28" w:rsidRPr="00BB3D77">
        <w:t xml:space="preserve">access. </w:t>
      </w:r>
      <w:r w:rsidR="002B206B" w:rsidRPr="00BB3D77">
        <w:t xml:space="preserve">NFA is concerned that, in the absence of a viable alternative, </w:t>
      </w:r>
      <w:r w:rsidR="0070221D" w:rsidRPr="00BB3D77">
        <w:t>more</w:t>
      </w:r>
      <w:r w:rsidR="002B206B" w:rsidRPr="00BB3D77">
        <w:t xml:space="preserve"> First Nation licence holders will </w:t>
      </w:r>
      <w:r w:rsidR="00252B91" w:rsidRPr="00BB3D77">
        <w:t>sell</w:t>
      </w:r>
      <w:r w:rsidR="00EA3A28" w:rsidRPr="00BB3D77">
        <w:t xml:space="preserve"> their assets</w:t>
      </w:r>
      <w:r w:rsidR="002B206B" w:rsidRPr="00BB3D77">
        <w:t xml:space="preserve"> and </w:t>
      </w:r>
      <w:r w:rsidR="00FE6CB5" w:rsidRPr="00BB3D77">
        <w:t>abandon</w:t>
      </w:r>
      <w:r w:rsidR="002B206B" w:rsidRPr="00BB3D77">
        <w:t xml:space="preserve"> the industry.</w:t>
      </w:r>
      <w:r w:rsidR="00593183" w:rsidRPr="00BB3D77">
        <w:t xml:space="preserve"> The </w:t>
      </w:r>
      <w:r w:rsidR="006E748D">
        <w:t>IFI</w:t>
      </w:r>
      <w:r w:rsidR="00593183" w:rsidRPr="00BB3D77">
        <w:t xml:space="preserve">’s licence and quota bank would aim to </w:t>
      </w:r>
      <w:r w:rsidR="00FE6CB5" w:rsidRPr="00BB3D77">
        <w:t xml:space="preserve">significantly </w:t>
      </w:r>
      <w:r w:rsidR="00593183" w:rsidRPr="00BB3D77">
        <w:t xml:space="preserve">reduce the burden of licence fees </w:t>
      </w:r>
      <w:r w:rsidR="00540FBD" w:rsidRPr="00BB3D77">
        <w:t xml:space="preserve">and </w:t>
      </w:r>
      <w:r w:rsidR="00832CF4" w:rsidRPr="00BB3D77">
        <w:t>increase</w:t>
      </w:r>
      <w:r w:rsidR="004360F7" w:rsidRPr="00BB3D77">
        <w:t xml:space="preserve"> </w:t>
      </w:r>
      <w:r w:rsidR="00832CF4" w:rsidRPr="00BB3D77">
        <w:t xml:space="preserve">the participation of </w:t>
      </w:r>
      <w:r w:rsidR="004360F7" w:rsidRPr="00BB3D77">
        <w:t>First Nation fishers</w:t>
      </w:r>
      <w:r w:rsidR="00593183" w:rsidRPr="00BB3D77">
        <w:t xml:space="preserve">.  </w:t>
      </w:r>
    </w:p>
    <w:p w14:paraId="28EC7D2D" w14:textId="2518B3CA" w:rsidR="00CC1055" w:rsidRPr="00BB3D77" w:rsidRDefault="00CC1055" w:rsidP="00E7286E">
      <w:pPr>
        <w:pStyle w:val="Heading5"/>
      </w:pPr>
      <w:bookmarkStart w:id="53" w:name="_Toc136865101"/>
      <w:r w:rsidRPr="00BB3D77">
        <w:t xml:space="preserve">Barkley Sound </w:t>
      </w:r>
      <w:r w:rsidR="00C666B7">
        <w:t>o</w:t>
      </w:r>
      <w:r w:rsidRPr="00BB3D77">
        <w:t xml:space="preserve">yster </w:t>
      </w:r>
      <w:r w:rsidR="00C666B7">
        <w:t>f</w:t>
      </w:r>
      <w:r w:rsidRPr="00BB3D77">
        <w:t xml:space="preserve">arming </w:t>
      </w:r>
      <w:r w:rsidR="00C666B7">
        <w:t>i</w:t>
      </w:r>
      <w:r w:rsidRPr="00BB3D77">
        <w:t xml:space="preserve">nnovation </w:t>
      </w:r>
      <w:r w:rsidR="00C666B7">
        <w:t>p</w:t>
      </w:r>
      <w:r w:rsidRPr="00BB3D77">
        <w:t>roject</w:t>
      </w:r>
      <w:bookmarkEnd w:id="53"/>
    </w:p>
    <w:p w14:paraId="7DEB998B" w14:textId="1B68AA13" w:rsidR="008A7A8B" w:rsidRPr="00BB3D77" w:rsidRDefault="00E7286E" w:rsidP="008707E3">
      <w:pPr>
        <w:pStyle w:val="Body"/>
      </w:pPr>
      <w:r w:rsidRPr="00BB3D77">
        <w:t xml:space="preserve">The </w:t>
      </w:r>
      <w:r w:rsidR="00CC1055" w:rsidRPr="00BB3D77">
        <w:t>Huu-ay-aht First Nations (HFN)</w:t>
      </w:r>
      <w:r w:rsidRPr="00BB3D77">
        <w:t xml:space="preserve"> are located around Pachena Bay</w:t>
      </w:r>
      <w:r w:rsidR="00CC1055" w:rsidRPr="00BB3D77">
        <w:t xml:space="preserve"> </w:t>
      </w:r>
      <w:r w:rsidRPr="00BB3D77">
        <w:t>about 300 km northe</w:t>
      </w:r>
      <w:r w:rsidR="00244829" w:rsidRPr="00BB3D77">
        <w:t>a</w:t>
      </w:r>
      <w:r w:rsidRPr="00BB3D77">
        <w:t>st of Victoria</w:t>
      </w:r>
      <w:r w:rsidR="00244829" w:rsidRPr="00BB3D77">
        <w:t>,</w:t>
      </w:r>
      <w:r w:rsidRPr="00BB3D77">
        <w:t xml:space="preserve"> British Columbia. In 2011 they </w:t>
      </w:r>
      <w:r w:rsidR="00CC1055" w:rsidRPr="00BB3D77">
        <w:t>became self-governing</w:t>
      </w:r>
      <w:r w:rsidRPr="00BB3D77">
        <w:t xml:space="preserve"> and</w:t>
      </w:r>
      <w:r w:rsidR="00CC1055" w:rsidRPr="00BB3D77">
        <w:t xml:space="preserve"> </w:t>
      </w:r>
      <w:r w:rsidRPr="00BB3D77">
        <w:t>established</w:t>
      </w:r>
      <w:r w:rsidR="00CC1055" w:rsidRPr="00BB3D77">
        <w:t xml:space="preserve"> a corporate structure that include</w:t>
      </w:r>
      <w:r w:rsidRPr="00BB3D77">
        <w:t>s</w:t>
      </w:r>
      <w:r w:rsidR="00CC1055" w:rsidRPr="00BB3D77">
        <w:t xml:space="preserve"> </w:t>
      </w:r>
      <w:r w:rsidR="00244829" w:rsidRPr="00BB3D77">
        <w:t>several</w:t>
      </w:r>
      <w:r w:rsidR="00CC1055" w:rsidRPr="00BB3D77">
        <w:t xml:space="preserve"> arms-length limited partnerships. These limited partnerships are collectively referred to as the HFN Group of Businesses</w:t>
      </w:r>
      <w:r w:rsidRPr="00BB3D77">
        <w:t xml:space="preserve"> (HGB)</w:t>
      </w:r>
      <w:r w:rsidR="00CC1055" w:rsidRPr="00BB3D77">
        <w:t>.</w:t>
      </w:r>
      <w:r w:rsidRPr="00BB3D77">
        <w:t xml:space="preserve"> </w:t>
      </w:r>
      <w:r w:rsidR="00EB38EE" w:rsidRPr="00BB3D77">
        <w:t xml:space="preserve">The HGB is also a long-time client of its local </w:t>
      </w:r>
      <w:r w:rsidR="006E748D">
        <w:t>IFI</w:t>
      </w:r>
      <w:r w:rsidR="00EB38EE" w:rsidRPr="00BB3D77">
        <w:t xml:space="preserve">, the </w:t>
      </w:r>
      <w:r w:rsidR="005E7CFE" w:rsidRPr="00BB3D77">
        <w:t>Nuu-chah-nulth Economic Development Corporation (NEDC)</w:t>
      </w:r>
      <w:r w:rsidR="00EB38EE" w:rsidRPr="00BB3D77">
        <w:t>.</w:t>
      </w:r>
      <w:r w:rsidR="005E7CFE" w:rsidRPr="00BB3D77">
        <w:t xml:space="preserve"> </w:t>
      </w:r>
      <w:r w:rsidR="008563A3" w:rsidRPr="00BB3D77">
        <w:t xml:space="preserve">In 2022, under </w:t>
      </w:r>
      <w:r w:rsidR="004C2161" w:rsidRPr="00BB3D77">
        <w:t>NACCA’s</w:t>
      </w:r>
      <w:r w:rsidR="008563A3" w:rsidRPr="00BB3D77">
        <w:t xml:space="preserve"> newly created Indigenous Growth Fund, the </w:t>
      </w:r>
      <w:r w:rsidR="00EB38EE" w:rsidRPr="00BB3D77">
        <w:t>NEDC provided a $1.5 million loan to</w:t>
      </w:r>
      <w:r w:rsidR="008563A3" w:rsidRPr="00BB3D77">
        <w:t xml:space="preserve"> the HGB’s</w:t>
      </w:r>
      <w:r w:rsidR="00EB38EE" w:rsidRPr="00BB3D77">
        <w:t xml:space="preserve"> Huu-ay-aht Fisheries Ltd.</w:t>
      </w:r>
      <w:r w:rsidR="00343CFD" w:rsidRPr="00BB3D77">
        <w:t xml:space="preserve"> </w:t>
      </w:r>
      <w:r w:rsidR="00EB38EE" w:rsidRPr="00BB3D77">
        <w:t xml:space="preserve">This </w:t>
      </w:r>
      <w:r w:rsidR="004A77BD" w:rsidRPr="00BB3D77">
        <w:t>loan</w:t>
      </w:r>
      <w:r w:rsidR="00EB38EE" w:rsidRPr="00BB3D77">
        <w:t xml:space="preserve"> will allow Huu-ay-aht to be part of a joint oyster seeding project based in Bamfield.</w:t>
      </w:r>
      <w:r w:rsidR="008563A3" w:rsidRPr="00BB3D77">
        <w:t xml:space="preserve"> </w:t>
      </w:r>
    </w:p>
    <w:p w14:paraId="4B0F927B" w14:textId="733CC8AD" w:rsidR="00CC1055" w:rsidRPr="00BB3D77" w:rsidRDefault="00CC1055" w:rsidP="008707E3">
      <w:pPr>
        <w:pStyle w:val="Body"/>
      </w:pPr>
      <w:r w:rsidRPr="00BB3D77">
        <w:t xml:space="preserve">In partnership with Nova Harvest Ltd., the </w:t>
      </w:r>
      <w:r w:rsidR="00E7286E" w:rsidRPr="00BB3D77">
        <w:t>HGB</w:t>
      </w:r>
      <w:r w:rsidRPr="00BB3D77">
        <w:t xml:space="preserve"> </w:t>
      </w:r>
      <w:r w:rsidR="00E7286E" w:rsidRPr="00BB3D77">
        <w:t>recently</w:t>
      </w:r>
      <w:r w:rsidRPr="00BB3D77">
        <w:t xml:space="preserve"> set out on a multi-year project to</w:t>
      </w:r>
      <w:r w:rsidR="00E7286E" w:rsidRPr="00BB3D77">
        <w:t xml:space="preserve"> </w:t>
      </w:r>
      <w:r w:rsidRPr="00BB3D77">
        <w:t>design</w:t>
      </w:r>
      <w:r w:rsidR="00E7286E" w:rsidRPr="00BB3D77">
        <w:t xml:space="preserve"> and develop</w:t>
      </w:r>
      <w:r w:rsidRPr="00BB3D77">
        <w:t xml:space="preserve"> new automated processes for </w:t>
      </w:r>
      <w:r w:rsidR="00E7286E" w:rsidRPr="00BB3D77">
        <w:t xml:space="preserve">sustainable </w:t>
      </w:r>
      <w:r w:rsidRPr="00BB3D77">
        <w:t xml:space="preserve">oyster aquaculture. </w:t>
      </w:r>
      <w:r w:rsidR="00244829" w:rsidRPr="00BB3D77">
        <w:t xml:space="preserve">The coastal region’s First Nations have been harvesting oysters and other shellfish for millennia, but the work can be extremely labour intensive. </w:t>
      </w:r>
      <w:r w:rsidRPr="00BB3D77">
        <w:t>The partners seek to create scalable technology</w:t>
      </w:r>
      <w:r w:rsidR="00E7286E" w:rsidRPr="00BB3D77">
        <w:t>-</w:t>
      </w:r>
      <w:r w:rsidRPr="00BB3D77">
        <w:t>driven oyster farm</w:t>
      </w:r>
      <w:r w:rsidR="00E7286E" w:rsidRPr="00BB3D77">
        <w:t>ing practices</w:t>
      </w:r>
      <w:r w:rsidRPr="00BB3D77">
        <w:t xml:space="preserve"> that </w:t>
      </w:r>
      <w:r w:rsidR="00E7286E" w:rsidRPr="00BB3D77">
        <w:t xml:space="preserve">will </w:t>
      </w:r>
      <w:r w:rsidRPr="00BB3D77">
        <w:t>empower First Nations</w:t>
      </w:r>
      <w:r w:rsidR="0085362E" w:rsidRPr="00BB3D77">
        <w:t>’</w:t>
      </w:r>
      <w:r w:rsidRPr="00BB3D77">
        <w:t xml:space="preserve"> </w:t>
      </w:r>
      <w:r w:rsidR="0085362E" w:rsidRPr="00BB3D77">
        <w:t xml:space="preserve">driven </w:t>
      </w:r>
      <w:r w:rsidRPr="00BB3D77">
        <w:t>shellfish aquaculture, create</w:t>
      </w:r>
      <w:r w:rsidR="00E7286E" w:rsidRPr="00BB3D77">
        <w:t xml:space="preserve"> higher-value and higher-paying</w:t>
      </w:r>
      <w:r w:rsidRPr="00BB3D77">
        <w:t xml:space="preserve"> jobs </w:t>
      </w:r>
      <w:r w:rsidR="00E7286E" w:rsidRPr="00BB3D77">
        <w:t xml:space="preserve">for Indigenous </w:t>
      </w:r>
      <w:r w:rsidR="0085362E" w:rsidRPr="00BB3D77">
        <w:t>harvesters</w:t>
      </w:r>
      <w:r w:rsidR="00E7286E" w:rsidRPr="00BB3D77">
        <w:t xml:space="preserve">, </w:t>
      </w:r>
      <w:r w:rsidRPr="00BB3D77">
        <w:t>and demonstrate sustainable seafood production techniques in their region of Barkley Sound.</w:t>
      </w:r>
      <w:r w:rsidR="00E7286E" w:rsidRPr="00BB3D77">
        <w:t xml:space="preserve"> </w:t>
      </w:r>
      <w:r w:rsidR="00244829" w:rsidRPr="00BB3D77">
        <w:t>As a local aquaculture company, Nova Harvest has operated in the area since 2011, producing oyster and clam seed for local shellfish farmers</w:t>
      </w:r>
      <w:r w:rsidR="000B4FD4" w:rsidRPr="00BB3D77">
        <w:t xml:space="preserve"> and First Nations,</w:t>
      </w:r>
      <w:r w:rsidR="00244829" w:rsidRPr="00BB3D77">
        <w:t xml:space="preserve"> </w:t>
      </w:r>
      <w:r w:rsidR="000B4FD4" w:rsidRPr="00BB3D77">
        <w:t>while</w:t>
      </w:r>
      <w:r w:rsidR="000A2DBA" w:rsidRPr="00BB3D77">
        <w:t xml:space="preserve"> advancing new</w:t>
      </w:r>
      <w:r w:rsidR="00244829" w:rsidRPr="00BB3D77">
        <w:t xml:space="preserve"> science-based solutions </w:t>
      </w:r>
      <w:r w:rsidR="000A2DBA" w:rsidRPr="00BB3D77">
        <w:t xml:space="preserve">to help keep the </w:t>
      </w:r>
      <w:r w:rsidR="000A2DBA" w:rsidRPr="00BB3D77">
        <w:lastRenderedPageBreak/>
        <w:t xml:space="preserve">province’s </w:t>
      </w:r>
      <w:r w:rsidR="00244829" w:rsidRPr="00BB3D77">
        <w:t>shellfish industry</w:t>
      </w:r>
      <w:r w:rsidR="000A2DBA" w:rsidRPr="00BB3D77">
        <w:t xml:space="preserve"> competitive</w:t>
      </w:r>
      <w:r w:rsidR="00244829" w:rsidRPr="00BB3D77">
        <w:t>.</w:t>
      </w:r>
      <w:r w:rsidR="0085362E" w:rsidRPr="00BB3D77">
        <w:rPr>
          <w:rStyle w:val="FootnoteReference"/>
        </w:rPr>
        <w:footnoteReference w:id="55"/>
      </w:r>
      <w:r w:rsidR="00244829" w:rsidRPr="00BB3D77">
        <w:t xml:space="preserve"> </w:t>
      </w:r>
      <w:r w:rsidR="008707E3" w:rsidRPr="00BB3D77">
        <w:t xml:space="preserve">In this endeavour they have </w:t>
      </w:r>
      <w:r w:rsidR="000A2DBA" w:rsidRPr="00BB3D77">
        <w:t xml:space="preserve">also </w:t>
      </w:r>
      <w:r w:rsidR="008707E3" w:rsidRPr="00BB3D77">
        <w:t xml:space="preserve">partnered with the Bamfield Marine Sciences Centre, a </w:t>
      </w:r>
      <w:r w:rsidR="000A2DBA" w:rsidRPr="00BB3D77">
        <w:t xml:space="preserve">charitable organization and </w:t>
      </w:r>
      <w:r w:rsidR="008707E3" w:rsidRPr="00BB3D77">
        <w:t>world-class teaching, training</w:t>
      </w:r>
      <w:r w:rsidR="00D005E2" w:rsidRPr="00BB3D77">
        <w:t>,</w:t>
      </w:r>
      <w:r w:rsidR="008707E3" w:rsidRPr="00BB3D77">
        <w:t xml:space="preserve"> and research facility. </w:t>
      </w:r>
    </w:p>
    <w:p w14:paraId="7215D3D2" w14:textId="392D2E07" w:rsidR="00E83CC9" w:rsidRPr="00BB3D77" w:rsidRDefault="003730F9" w:rsidP="00FE5A83">
      <w:pPr>
        <w:pStyle w:val="Heading5"/>
      </w:pPr>
      <w:bookmarkStart w:id="54" w:name="_Toc136865102"/>
      <w:r w:rsidRPr="00BB3D77">
        <w:t>Ontario First Nations</w:t>
      </w:r>
      <w:r w:rsidR="00E83CC9" w:rsidRPr="00BB3D77">
        <w:t xml:space="preserve"> </w:t>
      </w:r>
      <w:r w:rsidR="005544B7">
        <w:t>a</w:t>
      </w:r>
      <w:r w:rsidR="00E83CC9" w:rsidRPr="00BB3D77">
        <w:t>qua</w:t>
      </w:r>
      <w:r w:rsidRPr="00BB3D77">
        <w:t>ponics</w:t>
      </w:r>
      <w:bookmarkEnd w:id="54"/>
    </w:p>
    <w:p w14:paraId="77D7DA38" w14:textId="5B39EE6F" w:rsidR="007C3B46" w:rsidRPr="00BB3D77" w:rsidRDefault="007C3B46" w:rsidP="00A02F90">
      <w:pPr>
        <w:pStyle w:val="Body"/>
      </w:pPr>
      <w:r w:rsidRPr="00BB3D77">
        <w:t xml:space="preserve">Curve Lake First Nation is in Eastern Ontario, 25 km northeast of the city of Peterborough. Since 2019 the community has been developing a commercial aquaponics project that will </w:t>
      </w:r>
      <w:r w:rsidR="00437FA8" w:rsidRPr="00BB3D77">
        <w:t>integrate</w:t>
      </w:r>
      <w:r w:rsidRPr="00BB3D77">
        <w:t xml:space="preserve"> aquaculture and hydroponics in a shared greenhouse facility.</w:t>
      </w:r>
      <w:r w:rsidR="00FF6D7F" w:rsidRPr="00BB3D77">
        <w:t xml:space="preserve"> With financial support from Waub</w:t>
      </w:r>
      <w:r w:rsidR="004D2047" w:rsidRPr="00BB3D77">
        <w:t>e</w:t>
      </w:r>
      <w:r w:rsidR="00FF6D7F" w:rsidRPr="00BB3D77">
        <w:t>tek’s Northern Integrated Commercial Fisheries Initiative (NICFI)</w:t>
      </w:r>
      <w:r w:rsidR="004D2047" w:rsidRPr="00BB3D77">
        <w:rPr>
          <w:rStyle w:val="FootnoteReference"/>
        </w:rPr>
        <w:footnoteReference w:id="56"/>
      </w:r>
      <w:r w:rsidR="00FF6D7F" w:rsidRPr="00BB3D77">
        <w:t xml:space="preserve">, Curve Lake completed a </w:t>
      </w:r>
      <w:r w:rsidR="0026147C" w:rsidRPr="00BB3D77">
        <w:t xml:space="preserve">project </w:t>
      </w:r>
      <w:r w:rsidR="00FF6D7F" w:rsidRPr="00BB3D77">
        <w:t xml:space="preserve">feasibility study </w:t>
      </w:r>
      <w:r w:rsidR="00D8701F" w:rsidRPr="00BB3D77">
        <w:t>in 2019</w:t>
      </w:r>
      <w:r w:rsidR="00FF6D7F" w:rsidRPr="00BB3D77">
        <w:t xml:space="preserve"> and </w:t>
      </w:r>
      <w:r w:rsidR="00D8701F" w:rsidRPr="00BB3D77">
        <w:t>a</w:t>
      </w:r>
      <w:r w:rsidR="00FF6D7F" w:rsidRPr="00BB3D77">
        <w:t xml:space="preserve"> business plan and </w:t>
      </w:r>
      <w:r w:rsidR="00D8701F" w:rsidRPr="00BB3D77">
        <w:t>design</w:t>
      </w:r>
      <w:r w:rsidR="00FF6D7F" w:rsidRPr="00BB3D77">
        <w:t xml:space="preserve"> </w:t>
      </w:r>
      <w:r w:rsidR="00D8701F" w:rsidRPr="00BB3D77">
        <w:t xml:space="preserve">concept </w:t>
      </w:r>
      <w:r w:rsidR="00D74F38" w:rsidRPr="00BB3D77">
        <w:t>in 2020</w:t>
      </w:r>
      <w:r w:rsidR="00D8701F" w:rsidRPr="00BB3D77">
        <w:t>-2021</w:t>
      </w:r>
      <w:r w:rsidR="00FF6D7F" w:rsidRPr="00BB3D77">
        <w:t>.</w:t>
      </w:r>
      <w:r w:rsidR="004D2047" w:rsidRPr="00BB3D77">
        <w:rPr>
          <w:rStyle w:val="FootnoteReference"/>
        </w:rPr>
        <w:footnoteReference w:id="57"/>
      </w:r>
      <w:r w:rsidR="00D8701F" w:rsidRPr="00BB3D77">
        <w:t xml:space="preserve"> As of July 2022 the project is in late developmental stages, undertaking civil engineering and archeological studies prior to construction.  </w:t>
      </w:r>
    </w:p>
    <w:p w14:paraId="3C1938D6" w14:textId="78581425" w:rsidR="00BE3B16" w:rsidRPr="00BB3D77" w:rsidRDefault="00D74F38" w:rsidP="00BE3B16">
      <w:pPr>
        <w:pStyle w:val="Body"/>
      </w:pPr>
      <w:r w:rsidRPr="00BB3D77">
        <w:t xml:space="preserve">The business will be Band-owned and operated with 5 to 6 fulltime jobs for community members to manage the facility and production. </w:t>
      </w:r>
      <w:r w:rsidR="00D8701F" w:rsidRPr="00BB3D77">
        <w:t xml:space="preserve">Approximately 15 members will be employed during construction. </w:t>
      </w:r>
      <w:r w:rsidR="00F00823" w:rsidRPr="00BB3D77">
        <w:t>Once completed, t</w:t>
      </w:r>
      <w:r w:rsidR="00BE3B16" w:rsidRPr="00BB3D77">
        <w:t xml:space="preserve">he </w:t>
      </w:r>
      <w:r w:rsidR="00437FA8" w:rsidRPr="00BB3D77">
        <w:t xml:space="preserve">greenhouse </w:t>
      </w:r>
      <w:r w:rsidRPr="00BB3D77">
        <w:t>facility</w:t>
      </w:r>
      <w:r w:rsidR="00BE3B16" w:rsidRPr="00BB3D77">
        <w:t xml:space="preserve"> </w:t>
      </w:r>
      <w:r w:rsidR="00FF6D7F" w:rsidRPr="00BB3D77">
        <w:t xml:space="preserve">will encompass a </w:t>
      </w:r>
      <w:r w:rsidR="00BE3B16" w:rsidRPr="00BB3D77">
        <w:t xml:space="preserve">45,000 square foot structure located </w:t>
      </w:r>
      <w:r w:rsidR="00FF6D7F" w:rsidRPr="00BB3D77">
        <w:t xml:space="preserve">on-reserve. </w:t>
      </w:r>
      <w:r w:rsidR="00437FA8" w:rsidRPr="00BB3D77">
        <w:t xml:space="preserve">Aside from the aquaculture and hydroponics components it will </w:t>
      </w:r>
      <w:r w:rsidRPr="00BB3D77">
        <w:t>contain</w:t>
      </w:r>
      <w:r w:rsidR="00BE3B16" w:rsidRPr="00BB3D77">
        <w:t xml:space="preserve"> </w:t>
      </w:r>
      <w:r w:rsidR="00437FA8" w:rsidRPr="00BB3D77">
        <w:t xml:space="preserve">a </w:t>
      </w:r>
      <w:r w:rsidR="00BE3B16" w:rsidRPr="00BB3D77">
        <w:t>storage</w:t>
      </w:r>
      <w:r w:rsidR="00437FA8" w:rsidRPr="00BB3D77">
        <w:t xml:space="preserve"> and shipping space</w:t>
      </w:r>
      <w:r w:rsidR="00BE3B16" w:rsidRPr="00BB3D77">
        <w:t xml:space="preserve">, refrigeration equipment, a retail store, </w:t>
      </w:r>
      <w:r w:rsidR="00437FA8" w:rsidRPr="00BB3D77">
        <w:t xml:space="preserve">and </w:t>
      </w:r>
      <w:r w:rsidRPr="00BB3D77">
        <w:t xml:space="preserve">administrative </w:t>
      </w:r>
      <w:r w:rsidR="00BE3B16" w:rsidRPr="00BB3D77">
        <w:t>offices.</w:t>
      </w:r>
      <w:r w:rsidR="004D2047" w:rsidRPr="00BB3D77">
        <w:rPr>
          <w:rStyle w:val="FootnoteReference"/>
        </w:rPr>
        <w:footnoteReference w:id="58"/>
      </w:r>
    </w:p>
    <w:p w14:paraId="562A84C5" w14:textId="77777777" w:rsidR="00F314E6" w:rsidRPr="00BB3D77" w:rsidRDefault="00437FA8" w:rsidP="00A60733">
      <w:pPr>
        <w:pStyle w:val="Body"/>
      </w:pPr>
      <w:r w:rsidRPr="00BB3D77">
        <w:t xml:space="preserve">Based on </w:t>
      </w:r>
      <w:r w:rsidR="00440B65" w:rsidRPr="00BB3D77">
        <w:t>the</w:t>
      </w:r>
      <w:r w:rsidRPr="00BB3D77">
        <w:t xml:space="preserve"> </w:t>
      </w:r>
      <w:r w:rsidR="00F00823" w:rsidRPr="00BB3D77">
        <w:t xml:space="preserve">project </w:t>
      </w:r>
      <w:r w:rsidRPr="00BB3D77">
        <w:t>feasibility study, t</w:t>
      </w:r>
      <w:r w:rsidR="00BE3B16" w:rsidRPr="00BB3D77">
        <w:t xml:space="preserve">he </w:t>
      </w:r>
      <w:r w:rsidRPr="00BB3D77">
        <w:t>First Nation decided to</w:t>
      </w:r>
      <w:r w:rsidR="00BE3B16" w:rsidRPr="00BB3D77">
        <w:t xml:space="preserve"> </w:t>
      </w:r>
      <w:r w:rsidR="00A60733" w:rsidRPr="00BB3D77">
        <w:t xml:space="preserve">focus </w:t>
      </w:r>
      <w:r w:rsidR="00AD2502" w:rsidRPr="00BB3D77">
        <w:t>its</w:t>
      </w:r>
      <w:r w:rsidR="00A60733" w:rsidRPr="00BB3D77">
        <w:t xml:space="preserve"> aquacultural practice on</w:t>
      </w:r>
      <w:r w:rsidR="00BE3B16" w:rsidRPr="00BB3D77">
        <w:t xml:space="preserve"> barramundi, a white fish </w:t>
      </w:r>
      <w:r w:rsidR="00A46391" w:rsidRPr="00BB3D77">
        <w:t xml:space="preserve">that is </w:t>
      </w:r>
      <w:r w:rsidR="00934248" w:rsidRPr="00BB3D77">
        <w:t xml:space="preserve">a traditional staple </w:t>
      </w:r>
      <w:r w:rsidR="00A46391" w:rsidRPr="00BB3D77">
        <w:t>for</w:t>
      </w:r>
      <w:r w:rsidR="00BE3B16" w:rsidRPr="00BB3D77">
        <w:t xml:space="preserve"> </w:t>
      </w:r>
      <w:r w:rsidR="00934248" w:rsidRPr="00BB3D77">
        <w:t xml:space="preserve">many </w:t>
      </w:r>
      <w:r w:rsidR="00BE3B16" w:rsidRPr="00BB3D77">
        <w:t xml:space="preserve">Indigenous </w:t>
      </w:r>
      <w:r w:rsidR="00934248" w:rsidRPr="00BB3D77">
        <w:t>peoples in Australasia</w:t>
      </w:r>
      <w:r w:rsidR="00A46391" w:rsidRPr="00BB3D77">
        <w:t>.</w:t>
      </w:r>
      <w:r w:rsidR="00BE3B16" w:rsidRPr="00BB3D77">
        <w:t xml:space="preserve"> </w:t>
      </w:r>
      <w:r w:rsidR="00A46391" w:rsidRPr="00BB3D77">
        <w:t xml:space="preserve">Commercially it </w:t>
      </w:r>
      <w:r w:rsidR="00934248" w:rsidRPr="00BB3D77">
        <w:t xml:space="preserve">has </w:t>
      </w:r>
      <w:r w:rsidR="00A46391" w:rsidRPr="00BB3D77">
        <w:t>enjoy</w:t>
      </w:r>
      <w:r w:rsidR="00934248" w:rsidRPr="00BB3D77">
        <w:t>ed</w:t>
      </w:r>
      <w:r w:rsidR="00A46391" w:rsidRPr="00BB3D77">
        <w:t xml:space="preserve"> strong demand from </w:t>
      </w:r>
      <w:r w:rsidR="00BE3B16" w:rsidRPr="00BB3D77">
        <w:t xml:space="preserve">Asian </w:t>
      </w:r>
      <w:r w:rsidR="00A46391" w:rsidRPr="00BB3D77">
        <w:t>markets</w:t>
      </w:r>
      <w:r w:rsidR="00934248" w:rsidRPr="00BB3D77">
        <w:t>;</w:t>
      </w:r>
      <w:r w:rsidR="00A46391" w:rsidRPr="00BB3D77">
        <w:t xml:space="preserve"> but is also relatively new to </w:t>
      </w:r>
      <w:r w:rsidR="00934248" w:rsidRPr="00BB3D77">
        <w:t>Canadian consumers</w:t>
      </w:r>
      <w:r w:rsidR="00BE3B16" w:rsidRPr="00BB3D77">
        <w:t>.</w:t>
      </w:r>
      <w:r w:rsidR="00A46391" w:rsidRPr="00BB3D77">
        <w:t xml:space="preserve"> The greenhouse’s planned h</w:t>
      </w:r>
      <w:r w:rsidR="00BE3B16" w:rsidRPr="00BB3D77">
        <w:t xml:space="preserve">ydroponic operations </w:t>
      </w:r>
      <w:r w:rsidR="00A46391" w:rsidRPr="00BB3D77">
        <w:t>will extend around</w:t>
      </w:r>
      <w:r w:rsidR="00BE3B16" w:rsidRPr="00BB3D77">
        <w:t xml:space="preserve"> 21,000 square feet. </w:t>
      </w:r>
      <w:r w:rsidR="00A46391" w:rsidRPr="00BB3D77">
        <w:t>The First Nation expects to focus production on</w:t>
      </w:r>
      <w:r w:rsidR="00BE3B16" w:rsidRPr="00BB3D77">
        <w:t xml:space="preserve"> </w:t>
      </w:r>
      <w:r w:rsidR="00044871" w:rsidRPr="00BB3D77">
        <w:t xml:space="preserve">a variety of </w:t>
      </w:r>
      <w:r w:rsidR="00BF66CE" w:rsidRPr="00BB3D77">
        <w:t>vegetables</w:t>
      </w:r>
      <w:r w:rsidR="00044871" w:rsidRPr="00BB3D77">
        <w:t xml:space="preserve"> including </w:t>
      </w:r>
      <w:r w:rsidR="00BE3B16" w:rsidRPr="00BB3D77">
        <w:t>kale, spinach</w:t>
      </w:r>
      <w:r w:rsidR="00934248" w:rsidRPr="00BB3D77">
        <w:t xml:space="preserve">, </w:t>
      </w:r>
      <w:r w:rsidR="00BE3B16" w:rsidRPr="00BB3D77">
        <w:t>tomatoes</w:t>
      </w:r>
      <w:r w:rsidR="00934248" w:rsidRPr="00BB3D77">
        <w:t>,</w:t>
      </w:r>
      <w:r w:rsidR="00BE3B16" w:rsidRPr="00BB3D77">
        <w:t xml:space="preserve"> and peppers. The community</w:t>
      </w:r>
      <w:r w:rsidR="00044871" w:rsidRPr="00BB3D77">
        <w:t>’s marketing strategy</w:t>
      </w:r>
      <w:r w:rsidR="00BE3B16" w:rsidRPr="00BB3D77">
        <w:t xml:space="preserve"> will </w:t>
      </w:r>
      <w:r w:rsidR="00044871" w:rsidRPr="00BB3D77">
        <w:t xml:space="preserve">target </w:t>
      </w:r>
      <w:r w:rsidR="00BE3B16" w:rsidRPr="00BB3D77">
        <w:t>local farmers</w:t>
      </w:r>
      <w:r w:rsidR="00F00823" w:rsidRPr="00BB3D77">
        <w:t>’</w:t>
      </w:r>
      <w:r w:rsidR="00BE3B16" w:rsidRPr="00BB3D77">
        <w:t xml:space="preserve"> markets and grocery chains</w:t>
      </w:r>
      <w:r w:rsidR="00044871" w:rsidRPr="00BB3D77">
        <w:t xml:space="preserve"> </w:t>
      </w:r>
      <w:r w:rsidR="00934248" w:rsidRPr="00BB3D77">
        <w:t xml:space="preserve">in an extended </w:t>
      </w:r>
      <w:r w:rsidR="00BF66CE" w:rsidRPr="00BB3D77">
        <w:t>region</w:t>
      </w:r>
      <w:r w:rsidR="00934248" w:rsidRPr="00BB3D77">
        <w:t xml:space="preserve"> including</w:t>
      </w:r>
      <w:r w:rsidR="00044871" w:rsidRPr="00BB3D77">
        <w:t xml:space="preserve"> </w:t>
      </w:r>
      <w:r w:rsidR="00934248" w:rsidRPr="00BB3D77">
        <w:t xml:space="preserve">the metropolitan area of </w:t>
      </w:r>
      <w:r w:rsidR="00044871" w:rsidRPr="00BB3D77">
        <w:t>Toronto</w:t>
      </w:r>
      <w:r w:rsidR="00BE3B16" w:rsidRPr="00BB3D77">
        <w:t>.</w:t>
      </w:r>
      <w:r w:rsidR="003730F9" w:rsidRPr="00BB3D77">
        <w:rPr>
          <w:rStyle w:val="FootnoteReference"/>
        </w:rPr>
        <w:footnoteReference w:id="59"/>
      </w:r>
      <w:r w:rsidR="00044871" w:rsidRPr="00BB3D77">
        <w:t xml:space="preserve">  But on top of its </w:t>
      </w:r>
      <w:r w:rsidR="00BE3B16" w:rsidRPr="00BB3D77">
        <w:t xml:space="preserve">commercial objectives, the </w:t>
      </w:r>
      <w:r w:rsidR="00044871" w:rsidRPr="00BB3D77">
        <w:t>project</w:t>
      </w:r>
      <w:r w:rsidR="00BE3B16" w:rsidRPr="00BB3D77">
        <w:t xml:space="preserve"> will also </w:t>
      </w:r>
      <w:r w:rsidR="00044871" w:rsidRPr="00BB3D77">
        <w:t>seek to strengthen</w:t>
      </w:r>
      <w:r w:rsidR="00BE3B16" w:rsidRPr="00BB3D77">
        <w:t xml:space="preserve"> food security </w:t>
      </w:r>
      <w:r w:rsidR="00044871" w:rsidRPr="00BB3D77">
        <w:t xml:space="preserve">and </w:t>
      </w:r>
      <w:r w:rsidR="00F00823" w:rsidRPr="00BB3D77">
        <w:t xml:space="preserve">community </w:t>
      </w:r>
      <w:r w:rsidR="00044871" w:rsidRPr="00BB3D77">
        <w:t xml:space="preserve">access to fresh </w:t>
      </w:r>
      <w:r w:rsidR="00F314E6" w:rsidRPr="00BB3D77">
        <w:t>produce</w:t>
      </w:r>
      <w:r w:rsidR="00044871" w:rsidRPr="00BB3D77">
        <w:t xml:space="preserve"> and farmed fish</w:t>
      </w:r>
      <w:r w:rsidR="00BE3B16" w:rsidRPr="00BB3D77">
        <w:t>.</w:t>
      </w:r>
      <w:r w:rsidR="00A60733" w:rsidRPr="00BB3D77">
        <w:t xml:space="preserve"> </w:t>
      </w:r>
    </w:p>
    <w:p w14:paraId="2D4D1173" w14:textId="74EEDFB0" w:rsidR="00BE3B16" w:rsidRPr="00BB3D77" w:rsidRDefault="00A60733" w:rsidP="00A60733">
      <w:pPr>
        <w:pStyle w:val="Body"/>
      </w:pPr>
      <w:r w:rsidRPr="00BB3D77">
        <w:lastRenderedPageBreak/>
        <w:t>Other, more remote Ontario First Nations are taking advantage of Waubetek’s Northern Integrated Commercial Fisheries Initiative. In 2021 Moose Cree First Nation unveiled its plan to build a 6,000 square foot aquaponics facility with a capacity to grow 80,000 heads of lettuce and kale, along with various vine crops. Moose Cree expect</w:t>
      </w:r>
      <w:r w:rsidR="00F314E6" w:rsidRPr="00BB3D77">
        <w:t>s</w:t>
      </w:r>
      <w:r w:rsidRPr="00BB3D77">
        <w:t xml:space="preserve"> to farm around 2000 kg of rainbow trout every 6 months and plan</w:t>
      </w:r>
      <w:r w:rsidR="00F314E6" w:rsidRPr="00BB3D77">
        <w:t>s</w:t>
      </w:r>
      <w:r w:rsidRPr="00BB3D77">
        <w:t xml:space="preserve"> to </w:t>
      </w:r>
      <w:r w:rsidR="00C076C5" w:rsidRPr="00BB3D77">
        <w:t>use</w:t>
      </w:r>
      <w:r w:rsidRPr="00BB3D77">
        <w:t xml:space="preserve"> the facility as a teaching site for local schools where children can learn about the sciences underpinning aquaculture</w:t>
      </w:r>
      <w:r w:rsidR="00F00823" w:rsidRPr="00BB3D77">
        <w:t xml:space="preserve"> and hydroponics</w:t>
      </w:r>
      <w:r w:rsidRPr="00BB3D77">
        <w:t>.</w:t>
      </w:r>
      <w:r w:rsidR="003730F9" w:rsidRPr="00BB3D77">
        <w:rPr>
          <w:rStyle w:val="FootnoteReference"/>
        </w:rPr>
        <w:footnoteReference w:id="60"/>
      </w:r>
      <w:r w:rsidRPr="00BB3D77">
        <w:t xml:space="preserve"> </w:t>
      </w:r>
    </w:p>
    <w:p w14:paraId="158A84B9" w14:textId="17A22987" w:rsidR="00977999" w:rsidRPr="00BB3D77" w:rsidRDefault="00977999" w:rsidP="00977999">
      <w:pPr>
        <w:pStyle w:val="Heading5"/>
      </w:pPr>
      <w:bookmarkStart w:id="55" w:name="_Toc136865103"/>
      <w:r w:rsidRPr="00BB3D77">
        <w:t xml:space="preserve">Indigenous </w:t>
      </w:r>
      <w:r w:rsidR="005544B7">
        <w:t>r</w:t>
      </w:r>
      <w:r w:rsidR="00225CFB" w:rsidRPr="00BB3D77">
        <w:t xml:space="preserve">anchers and </w:t>
      </w:r>
      <w:r w:rsidR="005544B7">
        <w:t>f</w:t>
      </w:r>
      <w:r w:rsidR="00225CFB" w:rsidRPr="00BB3D77">
        <w:t>armers</w:t>
      </w:r>
      <w:bookmarkEnd w:id="55"/>
    </w:p>
    <w:p w14:paraId="0E539ED2" w14:textId="02AE5E68" w:rsidR="005D0A9B" w:rsidRPr="00BB3D77" w:rsidRDefault="00640480" w:rsidP="000E2AD8">
      <w:pPr>
        <w:pStyle w:val="Body"/>
      </w:pPr>
      <w:r w:rsidRPr="00BB3D77">
        <w:t xml:space="preserve">Agriculture is an important </w:t>
      </w:r>
      <w:r w:rsidR="00F070CD" w:rsidRPr="00BB3D77">
        <w:t>focus of</w:t>
      </w:r>
      <w:r w:rsidRPr="00BB3D77">
        <w:t xml:space="preserve"> </w:t>
      </w:r>
      <w:r w:rsidR="006E748D">
        <w:t>IFI</w:t>
      </w:r>
      <w:r w:rsidR="001A7B2C">
        <w:t xml:space="preserve">-driven investments tied to ABFP and </w:t>
      </w:r>
      <w:r w:rsidR="00485843">
        <w:t>ADLA.</w:t>
      </w:r>
      <w:r w:rsidRPr="00BB3D77">
        <w:t xml:space="preserve"> From 2016 to 2021 </w:t>
      </w:r>
      <w:r w:rsidR="006E748D">
        <w:t>IFI</w:t>
      </w:r>
      <w:r w:rsidR="00490A7E" w:rsidRPr="00BB3D77">
        <w:t>-driven</w:t>
      </w:r>
      <w:r w:rsidRPr="00BB3D77">
        <w:t xml:space="preserve"> investments had a direct </w:t>
      </w:r>
      <w:r w:rsidR="00692D79" w:rsidRPr="00BB3D77">
        <w:t xml:space="preserve">GDP </w:t>
      </w:r>
      <w:r w:rsidRPr="00BB3D77">
        <w:t xml:space="preserve">impact of more than $84 million on </w:t>
      </w:r>
      <w:r w:rsidR="00F070CD" w:rsidRPr="00BB3D77">
        <w:t xml:space="preserve">Indigenous led </w:t>
      </w:r>
      <w:r w:rsidRPr="00BB3D77">
        <w:t xml:space="preserve">crop and animal production. </w:t>
      </w:r>
      <w:r w:rsidR="00B2702E" w:rsidRPr="00BB3D77">
        <w:t>Rancher LouAnn Solway</w:t>
      </w:r>
      <w:r w:rsidR="005D0A9B" w:rsidRPr="00BB3D77">
        <w:t xml:space="preserve">, an </w:t>
      </w:r>
      <w:r w:rsidR="006E748D">
        <w:t>IFI</w:t>
      </w:r>
      <w:r w:rsidR="005D0A9B" w:rsidRPr="00BB3D77">
        <w:t xml:space="preserve"> client in Alberta,</w:t>
      </w:r>
      <w:r w:rsidR="00B2702E" w:rsidRPr="00BB3D77">
        <w:t xml:space="preserve"> grew up in </w:t>
      </w:r>
      <w:r w:rsidR="00606819" w:rsidRPr="00BB3D77">
        <w:t xml:space="preserve">a cattle ranching family on-reserve at </w:t>
      </w:r>
      <w:r w:rsidR="00B2702E" w:rsidRPr="00BB3D77">
        <w:t>Siksika First Nation</w:t>
      </w:r>
      <w:r w:rsidR="00606819" w:rsidRPr="00BB3D77">
        <w:t xml:space="preserve">, </w:t>
      </w:r>
      <w:r w:rsidR="00B2702E" w:rsidRPr="00BB3D77">
        <w:t>about 100 km from Calgary.</w:t>
      </w:r>
      <w:r w:rsidR="002F086D" w:rsidRPr="00BB3D77">
        <w:rPr>
          <w:rStyle w:val="FootnoteReference"/>
        </w:rPr>
        <w:footnoteReference w:id="61"/>
      </w:r>
      <w:r w:rsidR="00606819" w:rsidRPr="00BB3D77">
        <w:t xml:space="preserve"> </w:t>
      </w:r>
      <w:r w:rsidR="005D0A9B" w:rsidRPr="00BB3D77">
        <w:t xml:space="preserve">After </w:t>
      </w:r>
      <w:r w:rsidR="00606819" w:rsidRPr="00BB3D77">
        <w:t xml:space="preserve">Solway </w:t>
      </w:r>
      <w:r w:rsidR="005D0A9B" w:rsidRPr="00BB3D77">
        <w:t xml:space="preserve">had inherited </w:t>
      </w:r>
      <w:r w:rsidR="00606819" w:rsidRPr="00BB3D77">
        <w:t xml:space="preserve">10 head of cattle from her </w:t>
      </w:r>
      <w:r w:rsidR="005D0A9B" w:rsidRPr="00BB3D77">
        <w:t>father, she d</w:t>
      </w:r>
      <w:r w:rsidR="00606819" w:rsidRPr="00BB3D77">
        <w:t>ecid</w:t>
      </w:r>
      <w:r w:rsidR="005D0A9B" w:rsidRPr="00BB3D77">
        <w:t>ed</w:t>
      </w:r>
      <w:r w:rsidR="00606819" w:rsidRPr="00BB3D77">
        <w:t xml:space="preserve"> to expand her business</w:t>
      </w:r>
      <w:r w:rsidR="005D0A9B" w:rsidRPr="00BB3D77">
        <w:t>,</w:t>
      </w:r>
      <w:r w:rsidR="00606819" w:rsidRPr="00BB3D77">
        <w:t xml:space="preserve"> </w:t>
      </w:r>
      <w:r w:rsidR="005D0A9B" w:rsidRPr="00BB3D77">
        <w:t xml:space="preserve">and </w:t>
      </w:r>
      <w:r w:rsidR="00606819" w:rsidRPr="00BB3D77">
        <w:t xml:space="preserve">approached several mainstream banks for a loan under $200,000. The banks all determined that </w:t>
      </w:r>
      <w:r w:rsidR="00DE67C2" w:rsidRPr="00BB3D77">
        <w:t xml:space="preserve">her assets – including land and cattle – could not be used as collateral, given they were on-reserve. Though disheartened, </w:t>
      </w:r>
      <w:r w:rsidR="00606819" w:rsidRPr="00BB3D77">
        <w:t xml:space="preserve">Solway </w:t>
      </w:r>
      <w:r w:rsidR="005D0A9B" w:rsidRPr="00BB3D77">
        <w:t xml:space="preserve">continued to search and </w:t>
      </w:r>
      <w:r w:rsidR="00DE67C2" w:rsidRPr="00BB3D77">
        <w:t xml:space="preserve">learned about </w:t>
      </w:r>
      <w:r w:rsidR="005D0A9B" w:rsidRPr="00BB3D77">
        <w:t xml:space="preserve">the Indian Business Corporation (IBC), </w:t>
      </w:r>
      <w:r w:rsidR="00DE67C2" w:rsidRPr="00BB3D77">
        <w:t xml:space="preserve">her closest </w:t>
      </w:r>
      <w:r w:rsidR="006E748D">
        <w:t>IFI</w:t>
      </w:r>
      <w:r w:rsidR="00DE67C2" w:rsidRPr="00BB3D77">
        <w:t xml:space="preserve"> in Calgary</w:t>
      </w:r>
      <w:r w:rsidR="00606819" w:rsidRPr="00BB3D77">
        <w:t>.</w:t>
      </w:r>
      <w:r w:rsidR="00DE67C2" w:rsidRPr="00BB3D77">
        <w:t xml:space="preserve"> </w:t>
      </w:r>
      <w:r w:rsidR="005D0A9B" w:rsidRPr="00BB3D77">
        <w:t>With support from IBC’s financial services and expertise</w:t>
      </w:r>
      <w:r w:rsidR="00DE67C2" w:rsidRPr="00BB3D77">
        <w:t xml:space="preserve"> she grew her ranch to 125 head of cattle.</w:t>
      </w:r>
      <w:r w:rsidR="002F086D" w:rsidRPr="00BB3D77">
        <w:rPr>
          <w:rStyle w:val="FootnoteReference"/>
        </w:rPr>
        <w:footnoteReference w:id="62"/>
      </w:r>
      <w:r w:rsidR="00434BE7" w:rsidRPr="00BB3D77">
        <w:t xml:space="preserve"> </w:t>
      </w:r>
    </w:p>
    <w:p w14:paraId="68E1E5A4" w14:textId="3296AB7C" w:rsidR="00606819" w:rsidRPr="00BB3D77" w:rsidRDefault="00434BE7" w:rsidP="000E2AD8">
      <w:pPr>
        <w:pStyle w:val="Body"/>
      </w:pPr>
      <w:r w:rsidRPr="00BB3D77">
        <w:t>IBC</w:t>
      </w:r>
      <w:r w:rsidR="002F086D" w:rsidRPr="00BB3D77">
        <w:t>’s original mandate was to help First Nations access capital</w:t>
      </w:r>
      <w:r w:rsidR="005D0A9B" w:rsidRPr="00BB3D77">
        <w:t xml:space="preserve"> for agriculture</w:t>
      </w:r>
      <w:r w:rsidR="002F086D" w:rsidRPr="00BB3D77">
        <w:t xml:space="preserve">, and it </w:t>
      </w:r>
      <w:r w:rsidRPr="00BB3D77">
        <w:t xml:space="preserve">has a long history of </w:t>
      </w:r>
      <w:r w:rsidR="002F086D" w:rsidRPr="00BB3D77">
        <w:t>serving</w:t>
      </w:r>
      <w:r w:rsidRPr="00BB3D77">
        <w:t xml:space="preserve"> First Nation farmers, ranchers</w:t>
      </w:r>
      <w:r w:rsidR="002F086D" w:rsidRPr="00BB3D77">
        <w:t>,</w:t>
      </w:r>
      <w:r w:rsidRPr="00BB3D77">
        <w:t xml:space="preserve"> and other agribusinesses. </w:t>
      </w:r>
      <w:r w:rsidR="002F086D" w:rsidRPr="00BB3D77">
        <w:t>Aside from financing</w:t>
      </w:r>
      <w:r w:rsidRPr="00BB3D77">
        <w:t xml:space="preserve"> livestock and feed production, IBC </w:t>
      </w:r>
      <w:r w:rsidR="002F086D" w:rsidRPr="00BB3D77">
        <w:t>also specializes in</w:t>
      </w:r>
      <w:r w:rsidRPr="00BB3D77">
        <w:t xml:space="preserve"> </w:t>
      </w:r>
      <w:r w:rsidR="006216F6" w:rsidRPr="00BB3D77">
        <w:t xml:space="preserve">financing </w:t>
      </w:r>
      <w:r w:rsidRPr="00BB3D77">
        <w:t>farm equipment</w:t>
      </w:r>
      <w:r w:rsidR="006216F6" w:rsidRPr="00BB3D77">
        <w:t xml:space="preserve"> purchases</w:t>
      </w:r>
      <w:r w:rsidRPr="00BB3D77">
        <w:t xml:space="preserve">. </w:t>
      </w:r>
      <w:r w:rsidR="00537C48" w:rsidRPr="00BB3D77">
        <w:t>With a track record extending back to</w:t>
      </w:r>
      <w:r w:rsidR="002F086D" w:rsidRPr="00BB3D77">
        <w:t xml:space="preserve"> 198</w:t>
      </w:r>
      <w:r w:rsidR="006A2A63" w:rsidRPr="00BB3D77">
        <w:t>7</w:t>
      </w:r>
      <w:r w:rsidR="002F086D" w:rsidRPr="00BB3D77">
        <w:t xml:space="preserve">, the </w:t>
      </w:r>
      <w:r w:rsidR="006E748D">
        <w:t>IFI</w:t>
      </w:r>
      <w:r w:rsidR="001A4A80" w:rsidRPr="00BB3D77">
        <w:t xml:space="preserve"> </w:t>
      </w:r>
      <w:r w:rsidR="00D22866" w:rsidRPr="00BB3D77">
        <w:t>stands out as a</w:t>
      </w:r>
      <w:r w:rsidR="00AE7958" w:rsidRPr="00BB3D77">
        <w:t xml:space="preserve"> source of expertise and</w:t>
      </w:r>
      <w:r w:rsidR="00D22866" w:rsidRPr="00BB3D77">
        <w:t xml:space="preserve"> </w:t>
      </w:r>
      <w:r w:rsidR="00AE7958" w:rsidRPr="00BB3D77">
        <w:t>financing</w:t>
      </w:r>
      <w:r w:rsidR="00D22866" w:rsidRPr="00BB3D77">
        <w:t xml:space="preserve"> for</w:t>
      </w:r>
      <w:r w:rsidRPr="00BB3D77">
        <w:t xml:space="preserve"> First Nation agribusiness</w:t>
      </w:r>
      <w:r w:rsidR="006A2A63" w:rsidRPr="00BB3D77">
        <w:t>es</w:t>
      </w:r>
      <w:r w:rsidRPr="00BB3D77">
        <w:t xml:space="preserve"> </w:t>
      </w:r>
      <w:r w:rsidR="006A2A63" w:rsidRPr="00BB3D77">
        <w:t>in its region</w:t>
      </w:r>
      <w:r w:rsidRPr="00BB3D77">
        <w:t>.</w:t>
      </w:r>
      <w:r w:rsidR="006A2A63" w:rsidRPr="00BB3D77">
        <w:rPr>
          <w:rStyle w:val="FootnoteReference"/>
        </w:rPr>
        <w:footnoteReference w:id="63"/>
      </w:r>
    </w:p>
    <w:p w14:paraId="01A3BB18" w14:textId="11D98A97" w:rsidR="0033402A" w:rsidRPr="00BB3D77" w:rsidRDefault="00DE67C2" w:rsidP="000E2AD8">
      <w:pPr>
        <w:pStyle w:val="Body"/>
      </w:pPr>
      <w:r w:rsidRPr="00BB3D77">
        <w:t>Ms. Solway’s story is</w:t>
      </w:r>
      <w:r w:rsidR="000E2AD8" w:rsidRPr="00BB3D77">
        <w:t xml:space="preserve"> unfortunately</w:t>
      </w:r>
      <w:r w:rsidRPr="00BB3D77">
        <w:t xml:space="preserve"> </w:t>
      </w:r>
      <w:r w:rsidR="000E2AD8" w:rsidRPr="00BB3D77">
        <w:t>common to</w:t>
      </w:r>
      <w:r w:rsidRPr="00BB3D77">
        <w:t xml:space="preserve"> many Indigenous agricultur</w:t>
      </w:r>
      <w:r w:rsidR="000B2324" w:rsidRPr="00BB3D77">
        <w:t>al ventures</w:t>
      </w:r>
      <w:r w:rsidRPr="00BB3D77">
        <w:t xml:space="preserve">, </w:t>
      </w:r>
      <w:r w:rsidR="000E2AD8" w:rsidRPr="00BB3D77">
        <w:t xml:space="preserve">and </w:t>
      </w:r>
      <w:r w:rsidRPr="00BB3D77">
        <w:t xml:space="preserve">especially </w:t>
      </w:r>
      <w:r w:rsidR="000B2324" w:rsidRPr="00BB3D77">
        <w:t>for</w:t>
      </w:r>
      <w:r w:rsidR="000E2AD8" w:rsidRPr="00BB3D77">
        <w:t xml:space="preserve"> </w:t>
      </w:r>
      <w:r w:rsidR="000B2324" w:rsidRPr="00BB3D77">
        <w:t xml:space="preserve">many </w:t>
      </w:r>
      <w:r w:rsidRPr="00BB3D77">
        <w:t>First Nation businesses operating on-reserve.</w:t>
      </w:r>
      <w:r w:rsidR="00042A19" w:rsidRPr="00BB3D77">
        <w:t xml:space="preserve"> </w:t>
      </w:r>
      <w:r w:rsidR="00005654" w:rsidRPr="00BB3D77">
        <w:t xml:space="preserve">The financial obstacles Indigenous agribusinesses face pose a threat to future generations of Indigenous ranchers and farmers. </w:t>
      </w:r>
    </w:p>
    <w:p w14:paraId="0A9495C3" w14:textId="295690B1" w:rsidR="00631DCB" w:rsidRPr="00BB3D77" w:rsidRDefault="000B2324" w:rsidP="000E2AD8">
      <w:pPr>
        <w:pStyle w:val="Body"/>
      </w:pPr>
      <w:r w:rsidRPr="00BB3D77">
        <w:lastRenderedPageBreak/>
        <w:t>T</w:t>
      </w:r>
      <w:r w:rsidR="00042A19" w:rsidRPr="00BB3D77">
        <w:t xml:space="preserve">he </w:t>
      </w:r>
      <w:r w:rsidR="005D36AB" w:rsidRPr="00BB3D77">
        <w:t>Indian</w:t>
      </w:r>
      <w:r w:rsidR="00042A19" w:rsidRPr="00BB3D77">
        <w:t xml:space="preserve"> Agricultur</w:t>
      </w:r>
      <w:r w:rsidR="005D36AB" w:rsidRPr="00BB3D77">
        <w:t>al</w:t>
      </w:r>
      <w:r w:rsidR="00042A19" w:rsidRPr="00BB3D77">
        <w:t xml:space="preserve"> Program of Ontario (IAPO) is an</w:t>
      </w:r>
      <w:r w:rsidRPr="00BB3D77">
        <w:t>other</w:t>
      </w:r>
      <w:r w:rsidR="00042A19" w:rsidRPr="00BB3D77">
        <w:t xml:space="preserve"> </w:t>
      </w:r>
      <w:r w:rsidR="006E748D">
        <w:t>IFI</w:t>
      </w:r>
      <w:r w:rsidR="00042A19" w:rsidRPr="00BB3D77">
        <w:t xml:space="preserve"> committed to financing and supporting First Nation farms and agribusinesses.</w:t>
      </w:r>
      <w:r w:rsidR="006A2A63" w:rsidRPr="00BB3D77">
        <w:rPr>
          <w:rStyle w:val="FootnoteReference"/>
        </w:rPr>
        <w:footnoteReference w:id="64"/>
      </w:r>
      <w:r w:rsidR="00042A19" w:rsidRPr="00BB3D77">
        <w:t xml:space="preserve"> Established in 1984, IAPO is a First Nation </w:t>
      </w:r>
      <w:r w:rsidR="005D36AB" w:rsidRPr="00BB3D77">
        <w:t xml:space="preserve">run </w:t>
      </w:r>
      <w:r w:rsidR="00042A19" w:rsidRPr="00BB3D77">
        <w:t xml:space="preserve">not for profit corporation </w:t>
      </w:r>
      <w:r w:rsidRPr="00BB3D77">
        <w:t>that</w:t>
      </w:r>
      <w:r w:rsidR="00042A19" w:rsidRPr="00BB3D77">
        <w:t xml:space="preserve"> empower</w:t>
      </w:r>
      <w:r w:rsidR="0033402A" w:rsidRPr="00BB3D77">
        <w:t>s</w:t>
      </w:r>
      <w:r w:rsidR="00042A19" w:rsidRPr="00BB3D77">
        <w:t xml:space="preserve"> First Nation</w:t>
      </w:r>
      <w:r w:rsidR="005D36AB" w:rsidRPr="00BB3D77">
        <w:t xml:space="preserve"> farmers</w:t>
      </w:r>
      <w:r w:rsidR="00042A19" w:rsidRPr="00BB3D77">
        <w:t xml:space="preserve"> through financial support</w:t>
      </w:r>
      <w:r w:rsidR="005D36AB" w:rsidRPr="00BB3D77">
        <w:t>, advisory services,</w:t>
      </w:r>
      <w:r w:rsidR="00042A19" w:rsidRPr="00BB3D77">
        <w:t xml:space="preserve"> and training</w:t>
      </w:r>
      <w:r w:rsidR="005D36AB" w:rsidRPr="00BB3D77">
        <w:t xml:space="preserve"> opportunities</w:t>
      </w:r>
      <w:r w:rsidR="00042A19" w:rsidRPr="00BB3D77">
        <w:t>.</w:t>
      </w:r>
      <w:r w:rsidR="00360863" w:rsidRPr="00BB3D77">
        <w:rPr>
          <w:rStyle w:val="FootnoteReference"/>
        </w:rPr>
        <w:footnoteReference w:id="65"/>
      </w:r>
      <w:r w:rsidR="000E2AD8" w:rsidRPr="00BB3D77">
        <w:t xml:space="preserve"> </w:t>
      </w:r>
      <w:r w:rsidR="005B139A" w:rsidRPr="00BB3D77">
        <w:t xml:space="preserve">It was established to help </w:t>
      </w:r>
      <w:r w:rsidRPr="00BB3D77">
        <w:t xml:space="preserve">Ontario’s </w:t>
      </w:r>
      <w:r w:rsidR="005B139A" w:rsidRPr="00BB3D77">
        <w:t xml:space="preserve">First Nation farmers overcome </w:t>
      </w:r>
      <w:r w:rsidRPr="00BB3D77">
        <w:t>similar</w:t>
      </w:r>
      <w:r w:rsidR="005B139A" w:rsidRPr="00BB3D77">
        <w:t xml:space="preserve"> financial </w:t>
      </w:r>
      <w:r w:rsidR="00005654" w:rsidRPr="00BB3D77">
        <w:t>obstacles</w:t>
      </w:r>
      <w:r w:rsidR="005B139A" w:rsidRPr="00BB3D77">
        <w:t xml:space="preserve"> </w:t>
      </w:r>
      <w:r w:rsidRPr="00BB3D77">
        <w:t xml:space="preserve">to those </w:t>
      </w:r>
      <w:r w:rsidR="005B139A" w:rsidRPr="00BB3D77">
        <w:t xml:space="preserve">Ms. Solway </w:t>
      </w:r>
      <w:r w:rsidRPr="00BB3D77">
        <w:t>had to face in Alberta</w:t>
      </w:r>
      <w:r w:rsidR="005B139A" w:rsidRPr="00BB3D77">
        <w:t xml:space="preserve">. </w:t>
      </w:r>
    </w:p>
    <w:p w14:paraId="228E5A9D" w14:textId="19BF969A" w:rsidR="00606819" w:rsidRPr="00BB3D77" w:rsidRDefault="00631DCB" w:rsidP="001D2084">
      <w:pPr>
        <w:pStyle w:val="Body"/>
      </w:pPr>
      <w:r w:rsidRPr="00BB3D77">
        <w:t>Recently</w:t>
      </w:r>
      <w:r w:rsidR="00D97460" w:rsidRPr="00BB3D77">
        <w:t>,</w:t>
      </w:r>
      <w:r w:rsidRPr="00BB3D77">
        <w:t xml:space="preserve"> the IAPO </w:t>
      </w:r>
      <w:r w:rsidR="002D4D7D" w:rsidRPr="00BB3D77">
        <w:t xml:space="preserve">has </w:t>
      </w:r>
      <w:r w:rsidR="00D97460" w:rsidRPr="00BB3D77">
        <w:t>focused</w:t>
      </w:r>
      <w:r w:rsidR="002D4D7D" w:rsidRPr="00BB3D77">
        <w:t xml:space="preserve"> on </w:t>
      </w:r>
      <w:r w:rsidR="00D97460" w:rsidRPr="00BB3D77">
        <w:t>inspiring and educating</w:t>
      </w:r>
      <w:r w:rsidR="002D4D7D" w:rsidRPr="00BB3D77">
        <w:t xml:space="preserve"> </w:t>
      </w:r>
      <w:r w:rsidR="00D97460" w:rsidRPr="00BB3D77">
        <w:t>future</w:t>
      </w:r>
      <w:r w:rsidR="002D4D7D" w:rsidRPr="00BB3D77">
        <w:t xml:space="preserve"> generation</w:t>
      </w:r>
      <w:r w:rsidR="00D97460" w:rsidRPr="00BB3D77">
        <w:t>s</w:t>
      </w:r>
      <w:r w:rsidR="002D4D7D" w:rsidRPr="00BB3D77">
        <w:t xml:space="preserve"> of Indigenous farmers in Ontario.</w:t>
      </w:r>
      <w:r w:rsidR="00D97460" w:rsidRPr="00BB3D77">
        <w:rPr>
          <w:rStyle w:val="FootnoteReference"/>
        </w:rPr>
        <w:footnoteReference w:id="66"/>
      </w:r>
      <w:r w:rsidR="002D4D7D" w:rsidRPr="00BB3D77">
        <w:t xml:space="preserve"> </w:t>
      </w:r>
      <w:r w:rsidR="00D97460" w:rsidRPr="00BB3D77">
        <w:t xml:space="preserve">The </w:t>
      </w:r>
      <w:r w:rsidR="006E748D">
        <w:t>IFI</w:t>
      </w:r>
      <w:r w:rsidR="00D97460" w:rsidRPr="00BB3D77">
        <w:t>’s</w:t>
      </w:r>
      <w:r w:rsidR="002D4D7D" w:rsidRPr="00BB3D77">
        <w:t xml:space="preserve"> </w:t>
      </w:r>
      <w:r w:rsidR="000E2AD8" w:rsidRPr="00BB3D77">
        <w:t>First Nations Agriculture for Seven Generations Program</w:t>
      </w:r>
      <w:r w:rsidR="002D4D7D" w:rsidRPr="00BB3D77">
        <w:t>, developed</w:t>
      </w:r>
      <w:r w:rsidR="000E2AD8" w:rsidRPr="00BB3D77">
        <w:t xml:space="preserve"> in partnership with Agscape</w:t>
      </w:r>
      <w:r w:rsidR="002D4D7D" w:rsidRPr="00BB3D77">
        <w:t>,</w:t>
      </w:r>
      <w:r w:rsidR="000E2AD8" w:rsidRPr="00BB3D77">
        <w:t xml:space="preserve"> engage</w:t>
      </w:r>
      <w:r w:rsidR="002D4D7D" w:rsidRPr="00BB3D77">
        <w:t>s</w:t>
      </w:r>
      <w:r w:rsidR="000E2AD8" w:rsidRPr="00BB3D77">
        <w:t xml:space="preserve"> </w:t>
      </w:r>
      <w:r w:rsidRPr="00BB3D77">
        <w:t>youth</w:t>
      </w:r>
      <w:r w:rsidR="002D4D7D" w:rsidRPr="00BB3D77">
        <w:t xml:space="preserve"> to</w:t>
      </w:r>
      <w:r w:rsidRPr="00BB3D77">
        <w:t xml:space="preserve"> raise their level of awareness and </w:t>
      </w:r>
      <w:r w:rsidR="000E2AD8" w:rsidRPr="00BB3D77">
        <w:t>interest in farming and agribusiness opportunities</w:t>
      </w:r>
      <w:r w:rsidR="00D97460" w:rsidRPr="00BB3D77">
        <w:t>. From its base in Six Nations First Nation, the program</w:t>
      </w:r>
      <w:r w:rsidR="00DF2A40" w:rsidRPr="00BB3D77">
        <w:t xml:space="preserve"> </w:t>
      </w:r>
      <w:r w:rsidR="000E2AD8" w:rsidRPr="00BB3D77">
        <w:t xml:space="preserve">provides </w:t>
      </w:r>
      <w:r w:rsidR="002D4D7D" w:rsidRPr="00BB3D77">
        <w:t xml:space="preserve">75 minutes of </w:t>
      </w:r>
      <w:r w:rsidRPr="00BB3D77">
        <w:t>classroom lessons</w:t>
      </w:r>
      <w:r w:rsidR="002D4D7D" w:rsidRPr="00BB3D77">
        <w:t>,</w:t>
      </w:r>
      <w:r w:rsidRPr="00BB3D77">
        <w:t xml:space="preserve"> linked to the </w:t>
      </w:r>
      <w:r w:rsidR="000E2AD8" w:rsidRPr="00BB3D77">
        <w:t>Ontario curriculum</w:t>
      </w:r>
      <w:r w:rsidR="002D4D7D" w:rsidRPr="00BB3D77">
        <w:t>,</w:t>
      </w:r>
      <w:r w:rsidRPr="00BB3D77">
        <w:t xml:space="preserve"> for</w:t>
      </w:r>
      <w:r w:rsidR="000E2AD8" w:rsidRPr="00BB3D77">
        <w:t xml:space="preserve"> First Nation</w:t>
      </w:r>
      <w:r w:rsidR="00DF2A40" w:rsidRPr="00BB3D77">
        <w:t>s</w:t>
      </w:r>
      <w:r w:rsidR="000E2AD8" w:rsidRPr="00BB3D77">
        <w:t xml:space="preserve"> secondary school students.</w:t>
      </w:r>
      <w:r w:rsidR="00B5077D" w:rsidRPr="00BB3D77">
        <w:rPr>
          <w:rStyle w:val="FootnoteReference"/>
        </w:rPr>
        <w:footnoteReference w:id="67"/>
      </w:r>
      <w:r w:rsidR="000E2AD8" w:rsidRPr="00BB3D77">
        <w:t xml:space="preserve"> </w:t>
      </w:r>
      <w:r w:rsidR="00D97460" w:rsidRPr="00BB3D77">
        <w:t>Each of its</w:t>
      </w:r>
      <w:r w:rsidR="000E2AD8" w:rsidRPr="00BB3D77">
        <w:t xml:space="preserve"> lessons </w:t>
      </w:r>
      <w:r w:rsidRPr="00BB3D77">
        <w:t>include</w:t>
      </w:r>
      <w:r w:rsidR="000E2AD8" w:rsidRPr="00BB3D77">
        <w:t xml:space="preserve"> cultural </w:t>
      </w:r>
      <w:r w:rsidRPr="00BB3D77">
        <w:t xml:space="preserve">and historical </w:t>
      </w:r>
      <w:r w:rsidR="00DF2A40" w:rsidRPr="00BB3D77">
        <w:t xml:space="preserve">insights </w:t>
      </w:r>
      <w:r w:rsidR="001D2084" w:rsidRPr="00BB3D77">
        <w:t>from Haudenosaunee and</w:t>
      </w:r>
      <w:r w:rsidR="002D4D7D" w:rsidRPr="00BB3D77">
        <w:t xml:space="preserve"> </w:t>
      </w:r>
      <w:r w:rsidR="001D2084" w:rsidRPr="00BB3D77">
        <w:t xml:space="preserve">Anishinaabe </w:t>
      </w:r>
      <w:r w:rsidR="00005654" w:rsidRPr="00BB3D77">
        <w:t>perspectives</w:t>
      </w:r>
      <w:r w:rsidR="001D2084" w:rsidRPr="00BB3D77">
        <w:t xml:space="preserve"> t</w:t>
      </w:r>
      <w:r w:rsidRPr="00BB3D77">
        <w:t>hat</w:t>
      </w:r>
      <w:r w:rsidR="000E2AD8" w:rsidRPr="00BB3D77">
        <w:t xml:space="preserve"> </w:t>
      </w:r>
      <w:r w:rsidR="001A22CD" w:rsidRPr="00BB3D77">
        <w:t>situate</w:t>
      </w:r>
      <w:r w:rsidR="000E2AD8" w:rsidRPr="00BB3D77">
        <w:t xml:space="preserve"> First Nations </w:t>
      </w:r>
      <w:r w:rsidRPr="00BB3D77">
        <w:t>agricultur</w:t>
      </w:r>
      <w:r w:rsidR="001D2084" w:rsidRPr="00BB3D77">
        <w:t>al experiences</w:t>
      </w:r>
      <w:r w:rsidRPr="00BB3D77">
        <w:t xml:space="preserve"> </w:t>
      </w:r>
      <w:r w:rsidR="000E2AD8" w:rsidRPr="00BB3D77">
        <w:t xml:space="preserve">in Ontario and </w:t>
      </w:r>
      <w:r w:rsidRPr="00BB3D77">
        <w:t>incorporate contemporary success stories and examples</w:t>
      </w:r>
      <w:r w:rsidR="000E2AD8" w:rsidRPr="00BB3D77">
        <w:t xml:space="preserve"> of First Nation </w:t>
      </w:r>
      <w:r w:rsidR="00DF2A40" w:rsidRPr="00BB3D77">
        <w:t>farmers and their operations</w:t>
      </w:r>
      <w:r w:rsidR="000E2AD8" w:rsidRPr="00BB3D77">
        <w:t>.</w:t>
      </w:r>
      <w:r w:rsidR="00042A19" w:rsidRPr="00BB3D77">
        <w:t xml:space="preserve">    </w:t>
      </w:r>
    </w:p>
    <w:p w14:paraId="54BE36CC" w14:textId="772B6148" w:rsidR="00640480" w:rsidRPr="00BB3D77" w:rsidRDefault="00977999" w:rsidP="00977999">
      <w:pPr>
        <w:pStyle w:val="Heading5"/>
      </w:pPr>
      <w:bookmarkStart w:id="56" w:name="_Toc136865104"/>
      <w:r w:rsidRPr="00BB3D77">
        <w:t xml:space="preserve">Indigenous </w:t>
      </w:r>
      <w:r w:rsidR="00C666B7">
        <w:t>f</w:t>
      </w:r>
      <w:r w:rsidRPr="00BB3D77">
        <w:t xml:space="preserve">ood </w:t>
      </w:r>
      <w:r w:rsidR="00C666B7">
        <w:t>s</w:t>
      </w:r>
      <w:r w:rsidR="00132EA9">
        <w:t>ervices and stores</w:t>
      </w:r>
      <w:bookmarkEnd w:id="56"/>
    </w:p>
    <w:p w14:paraId="508781FD" w14:textId="7289C2F2" w:rsidR="00640480" w:rsidRPr="00BB3D77" w:rsidRDefault="006E748D" w:rsidP="000E7D84">
      <w:pPr>
        <w:pStyle w:val="Body"/>
      </w:pPr>
      <w:r>
        <w:t>IFI</w:t>
      </w:r>
      <w:r w:rsidR="007C2374" w:rsidRPr="00BB3D77">
        <w:t>s</w:t>
      </w:r>
      <w:r w:rsidR="00640480" w:rsidRPr="00BB3D77">
        <w:t xml:space="preserve"> </w:t>
      </w:r>
      <w:r w:rsidR="00A737B7" w:rsidRPr="00BB3D77">
        <w:t xml:space="preserve">also </w:t>
      </w:r>
      <w:r w:rsidR="00640480" w:rsidRPr="00BB3D77">
        <w:t xml:space="preserve">play an important role in supporting local Indigenous owned food </w:t>
      </w:r>
      <w:r w:rsidR="00977999" w:rsidRPr="00BB3D77">
        <w:t xml:space="preserve">services and stores. From 2016 to 2021, </w:t>
      </w:r>
      <w:r>
        <w:t>IFI</w:t>
      </w:r>
      <w:r w:rsidR="002D42B9" w:rsidRPr="00BB3D77">
        <w:t>-driven</w:t>
      </w:r>
      <w:r w:rsidR="00977999" w:rsidRPr="00BB3D77">
        <w:t xml:space="preserve"> investments had a direct </w:t>
      </w:r>
      <w:r w:rsidR="00E2599F" w:rsidRPr="00BB3D77">
        <w:t xml:space="preserve">GDP </w:t>
      </w:r>
      <w:r w:rsidR="00977999" w:rsidRPr="00BB3D77">
        <w:t>impact of more than $23 million on Indigenous owned food and beverage stores, and over $61 million on Indigenous owned food services such as restaurants, catering businesses, and so forth.</w:t>
      </w:r>
    </w:p>
    <w:p w14:paraId="41161918" w14:textId="20490C80" w:rsidR="00570571" w:rsidRPr="00BB3D77" w:rsidRDefault="008F77D7" w:rsidP="00A578EE">
      <w:pPr>
        <w:pStyle w:val="Heading6"/>
      </w:pPr>
      <w:bookmarkStart w:id="57" w:name="_Toc136865105"/>
      <w:r w:rsidRPr="00BB3D77">
        <w:t>Gitxaala Nation’s</w:t>
      </w:r>
      <w:r w:rsidR="00AB6E7C" w:rsidRPr="00BB3D77">
        <w:t xml:space="preserve"> Social Enterprise Restaurant</w:t>
      </w:r>
      <w:bookmarkEnd w:id="57"/>
    </w:p>
    <w:p w14:paraId="33C3E8BF" w14:textId="0C60ACEE" w:rsidR="00243C86" w:rsidRPr="00BB3D77" w:rsidRDefault="000E7D84" w:rsidP="00243C86">
      <w:pPr>
        <w:pStyle w:val="Body"/>
      </w:pPr>
      <w:r w:rsidRPr="00BB3D77">
        <w:t xml:space="preserve">Gitxaala Nation </w:t>
      </w:r>
      <w:r w:rsidR="00243C86" w:rsidRPr="00BB3D77">
        <w:t xml:space="preserve">in British Columbia </w:t>
      </w:r>
      <w:r w:rsidR="0037160D" w:rsidRPr="00BB3D77">
        <w:t xml:space="preserve">owns and </w:t>
      </w:r>
      <w:r w:rsidR="005C5604" w:rsidRPr="00BB3D77">
        <w:t>operates</w:t>
      </w:r>
      <w:r w:rsidR="00243C86" w:rsidRPr="00BB3D77">
        <w:t xml:space="preserve"> the Loaf of Bread, a social enterprise that is a restaurant</w:t>
      </w:r>
      <w:r w:rsidR="00490302" w:rsidRPr="00BB3D77">
        <w:t>, greenhouse,</w:t>
      </w:r>
      <w:r w:rsidR="00243C86" w:rsidRPr="00BB3D77">
        <w:t xml:space="preserve"> and </w:t>
      </w:r>
      <w:r w:rsidR="00490302" w:rsidRPr="00BB3D77">
        <w:t>community hub</w:t>
      </w:r>
      <w:r w:rsidR="00243C86" w:rsidRPr="00BB3D77">
        <w:t xml:space="preserve">. Located in </w:t>
      </w:r>
      <w:r w:rsidR="00DB6FAC" w:rsidRPr="00BB3D77">
        <w:t>the village of Lach Klan (Kitkatla)</w:t>
      </w:r>
      <w:r w:rsidR="00243C86" w:rsidRPr="00BB3D77">
        <w:t xml:space="preserve">, </w:t>
      </w:r>
      <w:r w:rsidR="00C25E42" w:rsidRPr="00BB3D77">
        <w:t>on Dolphin Island</w:t>
      </w:r>
      <w:r w:rsidR="00490302" w:rsidRPr="00BB3D77">
        <w:t>,</w:t>
      </w:r>
      <w:r w:rsidR="00C25E42" w:rsidRPr="00BB3D77">
        <w:t xml:space="preserve"> about </w:t>
      </w:r>
      <w:r w:rsidR="000026DC" w:rsidRPr="00BB3D77">
        <w:t>6</w:t>
      </w:r>
      <w:r w:rsidR="00490302" w:rsidRPr="00BB3D77">
        <w:t>0</w:t>
      </w:r>
      <w:r w:rsidR="00243C86" w:rsidRPr="00BB3D77">
        <w:t xml:space="preserve"> km </w:t>
      </w:r>
      <w:r w:rsidR="000026DC" w:rsidRPr="00BB3D77">
        <w:t>southwest of</w:t>
      </w:r>
      <w:r w:rsidR="00243C86" w:rsidRPr="00BB3D77">
        <w:t xml:space="preserve"> </w:t>
      </w:r>
      <w:r w:rsidR="00C25E42" w:rsidRPr="00BB3D77">
        <w:t>Prince Rupert</w:t>
      </w:r>
      <w:r w:rsidR="00DB6FAC" w:rsidRPr="00BB3D77">
        <w:t xml:space="preserve"> (by air)</w:t>
      </w:r>
      <w:r w:rsidR="00243C86" w:rsidRPr="00BB3D77">
        <w:t xml:space="preserve">, the </w:t>
      </w:r>
      <w:r w:rsidR="00A578EE" w:rsidRPr="00BB3D77">
        <w:t>social</w:t>
      </w:r>
      <w:r w:rsidR="00A36C59" w:rsidRPr="00BB3D77">
        <w:t xml:space="preserve"> </w:t>
      </w:r>
      <w:r w:rsidR="00A578EE" w:rsidRPr="00BB3D77">
        <w:t>enterprise provid</w:t>
      </w:r>
      <w:r w:rsidR="00243C86" w:rsidRPr="00BB3D77">
        <w:t>es</w:t>
      </w:r>
      <w:r w:rsidR="00A578EE" w:rsidRPr="00BB3D77">
        <w:t xml:space="preserve"> </w:t>
      </w:r>
      <w:r w:rsidR="00490302" w:rsidRPr="00BB3D77">
        <w:t>a café</w:t>
      </w:r>
      <w:r w:rsidR="0037160D" w:rsidRPr="00BB3D77">
        <w:t>, garden,</w:t>
      </w:r>
      <w:r w:rsidR="00490302" w:rsidRPr="00BB3D77">
        <w:t xml:space="preserve"> </w:t>
      </w:r>
      <w:r w:rsidR="003E1E7B" w:rsidRPr="00BB3D77">
        <w:t xml:space="preserve">food services, </w:t>
      </w:r>
      <w:r w:rsidR="00490302" w:rsidRPr="00BB3D77">
        <w:t xml:space="preserve">local </w:t>
      </w:r>
      <w:r w:rsidR="00243C86" w:rsidRPr="00BB3D77">
        <w:t>training and employment</w:t>
      </w:r>
      <w:r w:rsidR="00490302" w:rsidRPr="00BB3D77">
        <w:t xml:space="preserve"> opportunities</w:t>
      </w:r>
      <w:r w:rsidR="00243C86" w:rsidRPr="00BB3D77">
        <w:t xml:space="preserve">, and </w:t>
      </w:r>
      <w:r w:rsidR="00490302" w:rsidRPr="00BB3D77">
        <w:t>a space for community activities</w:t>
      </w:r>
      <w:r w:rsidR="00243C86" w:rsidRPr="00BB3D77">
        <w:t xml:space="preserve">. </w:t>
      </w:r>
      <w:r w:rsidR="00490302" w:rsidRPr="00BB3D77">
        <w:t>T</w:t>
      </w:r>
      <w:r w:rsidR="00243C86" w:rsidRPr="00BB3D77">
        <w:t xml:space="preserve">he restaurant’s regular menu features </w:t>
      </w:r>
      <w:r w:rsidR="00A578EE" w:rsidRPr="00BB3D77">
        <w:t>healthy food</w:t>
      </w:r>
      <w:r w:rsidR="00243C86" w:rsidRPr="00BB3D77">
        <w:t xml:space="preserve"> options</w:t>
      </w:r>
      <w:r w:rsidR="00A578EE" w:rsidRPr="00BB3D77">
        <w:t xml:space="preserve"> </w:t>
      </w:r>
      <w:r w:rsidR="00243C86" w:rsidRPr="00BB3D77">
        <w:t xml:space="preserve">strengthened by the presence of </w:t>
      </w:r>
      <w:r w:rsidR="00A578EE" w:rsidRPr="00BB3D77">
        <w:t>traditional Gitxaala foods</w:t>
      </w:r>
      <w:r w:rsidR="00A24C26" w:rsidRPr="00BB3D77">
        <w:t xml:space="preserve"> harvested from the ocean and lands</w:t>
      </w:r>
      <w:r w:rsidR="00A578EE" w:rsidRPr="00BB3D77">
        <w:t>.</w:t>
      </w:r>
      <w:r w:rsidR="00CD1DBF" w:rsidRPr="00BB3D77">
        <w:rPr>
          <w:rStyle w:val="FootnoteReference"/>
        </w:rPr>
        <w:footnoteReference w:id="68"/>
      </w:r>
      <w:r w:rsidR="00A578EE" w:rsidRPr="00BB3D77">
        <w:t xml:space="preserve"> </w:t>
      </w:r>
      <w:r w:rsidR="0037160D" w:rsidRPr="00BB3D77">
        <w:t xml:space="preserve">Aside from feeding </w:t>
      </w:r>
      <w:r w:rsidR="003E1E7B" w:rsidRPr="00BB3D77">
        <w:t>local</w:t>
      </w:r>
      <w:r w:rsidR="0037160D" w:rsidRPr="00BB3D77">
        <w:t xml:space="preserve"> customers</w:t>
      </w:r>
      <w:r w:rsidR="003E1E7B" w:rsidRPr="00BB3D77">
        <w:t xml:space="preserve"> and visitors</w:t>
      </w:r>
      <w:r w:rsidR="0037160D" w:rsidRPr="00BB3D77">
        <w:t>, f</w:t>
      </w:r>
      <w:r w:rsidR="00C17B26" w:rsidRPr="00BB3D77">
        <w:t xml:space="preserve">oods prepared </w:t>
      </w:r>
      <w:r w:rsidR="004862F6" w:rsidRPr="00BB3D77">
        <w:t xml:space="preserve">from the social </w:t>
      </w:r>
      <w:r w:rsidR="004862F6" w:rsidRPr="00BB3D77">
        <w:lastRenderedPageBreak/>
        <w:t>enterprise’s</w:t>
      </w:r>
      <w:r w:rsidR="00C17B26" w:rsidRPr="00BB3D77">
        <w:t xml:space="preserve"> </w:t>
      </w:r>
      <w:r w:rsidR="006A288D" w:rsidRPr="00BB3D77">
        <w:t xml:space="preserve">greenhouse </w:t>
      </w:r>
      <w:r w:rsidR="00C17B26" w:rsidRPr="00BB3D77">
        <w:t xml:space="preserve">garden contribute to the First Nation’s Lach Klan School breakfast program and to prenatal packages delivered through the community’s maternal health program. </w:t>
      </w:r>
      <w:r w:rsidR="00BB0DD6" w:rsidRPr="00BB3D77">
        <w:t>L</w:t>
      </w:r>
      <w:r w:rsidR="00DB6FAC" w:rsidRPr="00BB3D77">
        <w:t xml:space="preserve">ocal caterers, bakers, and other food service entrepreneurs </w:t>
      </w:r>
      <w:r w:rsidR="00BB0DD6" w:rsidRPr="00BB3D77">
        <w:t xml:space="preserve">also have access to the Loaf of Bread’s kitchen to support their </w:t>
      </w:r>
      <w:r w:rsidR="00B64B32" w:rsidRPr="00BB3D77">
        <w:t xml:space="preserve">own </w:t>
      </w:r>
      <w:r w:rsidR="003E1E7B" w:rsidRPr="00BB3D77">
        <w:t>ventures</w:t>
      </w:r>
      <w:r w:rsidR="00DB6FAC" w:rsidRPr="00BB3D77">
        <w:t>.</w:t>
      </w:r>
    </w:p>
    <w:p w14:paraId="2DA0B082" w14:textId="2D1ECEE3" w:rsidR="00274AFD" w:rsidRPr="00BB3D77" w:rsidRDefault="00243C86" w:rsidP="00274AFD">
      <w:pPr>
        <w:pStyle w:val="Body"/>
      </w:pPr>
      <w:r w:rsidRPr="00BB3D77">
        <w:t>This community-based social enterprise</w:t>
      </w:r>
      <w:r w:rsidR="00E14D4E" w:rsidRPr="00BB3D77">
        <w:t xml:space="preserve"> became possible after the Nation’s local </w:t>
      </w:r>
      <w:r w:rsidR="006E748D">
        <w:t>IFI</w:t>
      </w:r>
      <w:r w:rsidR="00E14D4E" w:rsidRPr="00BB3D77">
        <w:t>,</w:t>
      </w:r>
      <w:r w:rsidR="00A578EE" w:rsidRPr="00BB3D77">
        <w:t xml:space="preserve"> T</w:t>
      </w:r>
      <w:r w:rsidR="000026DC" w:rsidRPr="00BB3D77">
        <w:t>ribal Resources Investment Corporation (TRI</w:t>
      </w:r>
      <w:r w:rsidR="00A578EE" w:rsidRPr="00BB3D77">
        <w:t>CORP</w:t>
      </w:r>
      <w:r w:rsidR="000026DC" w:rsidRPr="00BB3D77">
        <w:t>),</w:t>
      </w:r>
      <w:r w:rsidR="00A578EE" w:rsidRPr="00BB3D77">
        <w:t xml:space="preserve"> </w:t>
      </w:r>
      <w:r w:rsidR="00E14D4E" w:rsidRPr="00BB3D77">
        <w:t xml:space="preserve">provided funding and financing through its </w:t>
      </w:r>
      <w:r w:rsidR="00490302" w:rsidRPr="00BB3D77">
        <w:t>e</w:t>
      </w:r>
      <w:r w:rsidR="00A578EE" w:rsidRPr="00BB3D77">
        <w:t xml:space="preserve">mployment </w:t>
      </w:r>
      <w:r w:rsidR="00490302" w:rsidRPr="00BB3D77">
        <w:t>t</w:t>
      </w:r>
      <w:r w:rsidR="00A578EE" w:rsidRPr="00BB3D77">
        <w:t xml:space="preserve">raining </w:t>
      </w:r>
      <w:r w:rsidR="00E14D4E" w:rsidRPr="00BB3D77">
        <w:t xml:space="preserve">and </w:t>
      </w:r>
      <w:r w:rsidR="00A578EE" w:rsidRPr="00BB3D77">
        <w:t>small business development</w:t>
      </w:r>
      <w:r w:rsidR="00E14D4E" w:rsidRPr="00BB3D77">
        <w:t xml:space="preserve"> programs</w:t>
      </w:r>
      <w:r w:rsidR="0085048C" w:rsidRPr="00BB3D77">
        <w:t xml:space="preserve"> – covered by ESDC’s ISETS program</w:t>
      </w:r>
      <w:r w:rsidR="00A578EE" w:rsidRPr="00BB3D77">
        <w:t>.</w:t>
      </w:r>
      <w:r w:rsidR="00CD1DBF" w:rsidRPr="00BB3D77">
        <w:rPr>
          <w:rStyle w:val="FootnoteReference"/>
        </w:rPr>
        <w:footnoteReference w:id="69"/>
      </w:r>
      <w:r w:rsidR="00A36C59" w:rsidRPr="00BB3D77">
        <w:t xml:space="preserve"> </w:t>
      </w:r>
      <w:r w:rsidR="00274AFD" w:rsidRPr="00BB3D77">
        <w:t xml:space="preserve">In 2016, the community </w:t>
      </w:r>
      <w:r w:rsidR="000026DC" w:rsidRPr="00BB3D77">
        <w:t xml:space="preserve">also </w:t>
      </w:r>
      <w:r w:rsidR="00274AFD" w:rsidRPr="00BB3D77">
        <w:t xml:space="preserve">received a grant </w:t>
      </w:r>
      <w:r w:rsidR="00C25E42" w:rsidRPr="00BB3D77">
        <w:t xml:space="preserve">from the Port of Prince Rupert’s Community Investment Fund </w:t>
      </w:r>
      <w:r w:rsidR="00274AFD" w:rsidRPr="00BB3D77">
        <w:t xml:space="preserve">to renovate the Loaf of Bread’s kitchen and </w:t>
      </w:r>
      <w:r w:rsidR="00DB6FAC" w:rsidRPr="00BB3D77">
        <w:t xml:space="preserve">establish </w:t>
      </w:r>
      <w:r w:rsidR="00BB0DD6" w:rsidRPr="00BB3D77">
        <w:t>its</w:t>
      </w:r>
      <w:r w:rsidR="00274AFD" w:rsidRPr="00BB3D77">
        <w:t xml:space="preserve"> </w:t>
      </w:r>
      <w:r w:rsidR="00641D0A" w:rsidRPr="00BB3D77">
        <w:t xml:space="preserve">20-by-40 ft </w:t>
      </w:r>
      <w:r w:rsidR="00274AFD" w:rsidRPr="00BB3D77">
        <w:t>greenhouse for local vegetable production.</w:t>
      </w:r>
      <w:r w:rsidR="00B5077D" w:rsidRPr="00BB3D77">
        <w:rPr>
          <w:rStyle w:val="FootnoteReference"/>
        </w:rPr>
        <w:footnoteReference w:id="70"/>
      </w:r>
      <w:r w:rsidR="00DB6FAC" w:rsidRPr="00BB3D77">
        <w:t xml:space="preserve"> </w:t>
      </w:r>
      <w:r w:rsidR="00274AFD" w:rsidRPr="00BB3D77">
        <w:t xml:space="preserve"> </w:t>
      </w:r>
    </w:p>
    <w:p w14:paraId="5839053D" w14:textId="59F671A3" w:rsidR="00570571" w:rsidRPr="00BB3D77" w:rsidRDefault="00C111FF" w:rsidP="00C13735">
      <w:pPr>
        <w:pStyle w:val="Heading4"/>
      </w:pPr>
      <w:bookmarkStart w:id="58" w:name="_Toc136865106"/>
      <w:r w:rsidRPr="00BB3D77">
        <w:t>How</w:t>
      </w:r>
      <w:r w:rsidR="00570571" w:rsidRPr="00BB3D77">
        <w:t xml:space="preserve"> </w:t>
      </w:r>
      <w:r w:rsidR="006E748D">
        <w:t>IFI</w:t>
      </w:r>
      <w:r w:rsidR="007C2374" w:rsidRPr="00BB3D77">
        <w:t>s</w:t>
      </w:r>
      <w:r w:rsidR="00570571" w:rsidRPr="00BB3D77">
        <w:t xml:space="preserve"> </w:t>
      </w:r>
      <w:r w:rsidR="005544B7">
        <w:t>c</w:t>
      </w:r>
      <w:r w:rsidRPr="00BB3D77">
        <w:t>ontribute to</w:t>
      </w:r>
      <w:r w:rsidR="00570571" w:rsidRPr="00BB3D77">
        <w:t xml:space="preserve"> Indigenous </w:t>
      </w:r>
      <w:r w:rsidR="005544B7">
        <w:t>h</w:t>
      </w:r>
      <w:r w:rsidR="00570571" w:rsidRPr="00BB3D77">
        <w:t xml:space="preserve">ealth </w:t>
      </w:r>
      <w:r w:rsidR="005544B7">
        <w:t>s</w:t>
      </w:r>
      <w:r w:rsidRPr="00BB3D77">
        <w:t xml:space="preserve">ervices </w:t>
      </w:r>
      <w:r w:rsidR="00570571" w:rsidRPr="00BB3D77">
        <w:t xml:space="preserve">and </w:t>
      </w:r>
      <w:r w:rsidR="005544B7">
        <w:t>m</w:t>
      </w:r>
      <w:r w:rsidR="00570571" w:rsidRPr="00BB3D77">
        <w:t xml:space="preserve">ental </w:t>
      </w:r>
      <w:r w:rsidR="005544B7">
        <w:t>h</w:t>
      </w:r>
      <w:r w:rsidRPr="00BB3D77">
        <w:t xml:space="preserve">ealth </w:t>
      </w:r>
      <w:r w:rsidR="005544B7">
        <w:t>s</w:t>
      </w:r>
      <w:r w:rsidRPr="00BB3D77">
        <w:t>upports</w:t>
      </w:r>
      <w:bookmarkEnd w:id="58"/>
    </w:p>
    <w:p w14:paraId="1E8AC9FB" w14:textId="6F144F68" w:rsidR="00570571" w:rsidRPr="00BB3D77" w:rsidRDefault="006E748D" w:rsidP="00570571">
      <w:pPr>
        <w:pStyle w:val="Body"/>
      </w:pPr>
      <w:r>
        <w:t>IFI</w:t>
      </w:r>
      <w:r w:rsidR="00570571" w:rsidRPr="00BB3D77">
        <w:t xml:space="preserve"> investments contribute to Indigenous healthcare </w:t>
      </w:r>
      <w:r w:rsidR="00CC2024" w:rsidRPr="00BB3D77">
        <w:t xml:space="preserve">and related health </w:t>
      </w:r>
      <w:r w:rsidR="00570571" w:rsidRPr="00BB3D77">
        <w:t xml:space="preserve">services through the specific industries and businesses they target. </w:t>
      </w:r>
      <w:r w:rsidR="00AF4587" w:rsidRPr="00BB3D77">
        <w:t>From 2016 to 2021</w:t>
      </w:r>
      <w:r w:rsidR="00570571" w:rsidRPr="00BB3D77">
        <w:t xml:space="preserve"> </w:t>
      </w:r>
      <w:r>
        <w:t>IFI</w:t>
      </w:r>
      <w:r w:rsidR="007E40B5" w:rsidRPr="00BB3D77">
        <w:t>-driven</w:t>
      </w:r>
      <w:r w:rsidR="00AF4587" w:rsidRPr="00BB3D77">
        <w:t xml:space="preserve"> investments</w:t>
      </w:r>
      <w:r w:rsidR="00570571" w:rsidRPr="00BB3D77">
        <w:t xml:space="preserve"> </w:t>
      </w:r>
      <w:r w:rsidR="00AF4587" w:rsidRPr="00BB3D77">
        <w:t>had a direct</w:t>
      </w:r>
      <w:r w:rsidR="00CC2024" w:rsidRPr="00BB3D77">
        <w:t xml:space="preserve"> GDP</w:t>
      </w:r>
      <w:r w:rsidR="00AF4587" w:rsidRPr="00BB3D77">
        <w:t xml:space="preserve"> impact of</w:t>
      </w:r>
      <w:r w:rsidR="00570571" w:rsidRPr="00BB3D77">
        <w:t xml:space="preserve"> </w:t>
      </w:r>
      <w:r w:rsidR="00AF4587" w:rsidRPr="00BB3D77">
        <w:t xml:space="preserve">more than $31 million on various health and wellness </w:t>
      </w:r>
      <w:r w:rsidR="00570571" w:rsidRPr="00BB3D77">
        <w:t xml:space="preserve">sectors.  </w:t>
      </w:r>
    </w:p>
    <w:p w14:paraId="35E1DA22" w14:textId="6E322764" w:rsidR="00B86539" w:rsidRPr="00BB3D77" w:rsidRDefault="00AF4587" w:rsidP="004D3AD2">
      <w:pPr>
        <w:pStyle w:val="Heading5"/>
      </w:pPr>
      <w:bookmarkStart w:id="59" w:name="_Toc136865107"/>
      <w:r w:rsidRPr="00BB3D77">
        <w:t>Healthc</w:t>
      </w:r>
      <w:r w:rsidR="00B86539" w:rsidRPr="00BB3D77">
        <w:t xml:space="preserve">are </w:t>
      </w:r>
      <w:r w:rsidR="005544B7">
        <w:t>i</w:t>
      </w:r>
      <w:r w:rsidRPr="00BB3D77">
        <w:t xml:space="preserve">nfrastructure and </w:t>
      </w:r>
      <w:r w:rsidR="005544B7">
        <w:t>f</w:t>
      </w:r>
      <w:r w:rsidR="00B86539" w:rsidRPr="00BB3D77">
        <w:t>acilities</w:t>
      </w:r>
      <w:bookmarkEnd w:id="59"/>
    </w:p>
    <w:p w14:paraId="54BF5A0A" w14:textId="135D0811" w:rsidR="00912C18" w:rsidRPr="00BB3D77" w:rsidRDefault="007E538E" w:rsidP="00570571">
      <w:pPr>
        <w:pStyle w:val="Body"/>
      </w:pPr>
      <w:r w:rsidRPr="00BB3D77">
        <w:t>A</w:t>
      </w:r>
      <w:r w:rsidR="00B86539" w:rsidRPr="00BB3D77">
        <w:t xml:space="preserve"> major </w:t>
      </w:r>
      <w:r w:rsidRPr="00BB3D77">
        <w:t>challenge</w:t>
      </w:r>
      <w:r w:rsidR="00B86539" w:rsidRPr="00BB3D77">
        <w:t xml:space="preserve"> </w:t>
      </w:r>
      <w:r w:rsidRPr="00BB3D77">
        <w:t xml:space="preserve">for many rural and remote Indigenous communities is access to </w:t>
      </w:r>
      <w:r w:rsidR="00B86539" w:rsidRPr="00BB3D77">
        <w:t xml:space="preserve">healthcare infrastructure. </w:t>
      </w:r>
      <w:r w:rsidRPr="00BB3D77">
        <w:t>Data from Statistics Canada</w:t>
      </w:r>
      <w:r w:rsidR="00B86539" w:rsidRPr="00BB3D77">
        <w:t xml:space="preserve"> </w:t>
      </w:r>
      <w:r w:rsidRPr="00BB3D77">
        <w:t>and the Canad</w:t>
      </w:r>
      <w:r w:rsidR="001B17F9" w:rsidRPr="00BB3D77">
        <w:t>a</w:t>
      </w:r>
      <w:r w:rsidRPr="00BB3D77">
        <w:t xml:space="preserve"> Mortga</w:t>
      </w:r>
      <w:r w:rsidR="001B17F9" w:rsidRPr="00BB3D77">
        <w:t>g</w:t>
      </w:r>
      <w:r w:rsidRPr="00BB3D77">
        <w:t xml:space="preserve">e and Housing Corporation (CMHC) continue to </w:t>
      </w:r>
      <w:r w:rsidR="001B17F9" w:rsidRPr="00BB3D77">
        <w:t>indicate</w:t>
      </w:r>
      <w:r w:rsidRPr="00BB3D77">
        <w:t xml:space="preserve"> housing cris</w:t>
      </w:r>
      <w:r w:rsidR="001B17F9" w:rsidRPr="00BB3D77">
        <w:t>e</w:t>
      </w:r>
      <w:r w:rsidRPr="00BB3D77">
        <w:t xml:space="preserve">s across Canada’s Arctic and rural/remote First Nations. A lack of housing </w:t>
      </w:r>
      <w:r w:rsidR="00C83CF0" w:rsidRPr="00BB3D77">
        <w:t xml:space="preserve">and facilities </w:t>
      </w:r>
      <w:r w:rsidRPr="00BB3D77">
        <w:t>in communities</w:t>
      </w:r>
      <w:r w:rsidR="00B86539" w:rsidRPr="00BB3D77">
        <w:t xml:space="preserve"> generates </w:t>
      </w:r>
      <w:r w:rsidR="001B17F9" w:rsidRPr="00BB3D77">
        <w:t xml:space="preserve">and perpetuates </w:t>
      </w:r>
      <w:r w:rsidR="00B86539" w:rsidRPr="00BB3D77">
        <w:t xml:space="preserve">many social problems. </w:t>
      </w:r>
      <w:r w:rsidRPr="00BB3D77">
        <w:t xml:space="preserve">For </w:t>
      </w:r>
      <w:r w:rsidR="00B86539" w:rsidRPr="00BB3D77">
        <w:t>people who are sick</w:t>
      </w:r>
      <w:r w:rsidRPr="00BB3D77">
        <w:t xml:space="preserve"> or </w:t>
      </w:r>
      <w:r w:rsidR="00B86539" w:rsidRPr="00BB3D77">
        <w:t xml:space="preserve">elderly </w:t>
      </w:r>
      <w:r w:rsidRPr="00BB3D77">
        <w:t>and</w:t>
      </w:r>
      <w:r w:rsidR="00B86539" w:rsidRPr="00BB3D77">
        <w:t xml:space="preserve"> losing their </w:t>
      </w:r>
      <w:r w:rsidRPr="00BB3D77">
        <w:t>mobility, many</w:t>
      </w:r>
      <w:r w:rsidR="00B86539" w:rsidRPr="00BB3D77">
        <w:t xml:space="preserve"> houses </w:t>
      </w:r>
      <w:r w:rsidRPr="00BB3D77">
        <w:t>on-reserve</w:t>
      </w:r>
      <w:r w:rsidR="001B17F9" w:rsidRPr="00BB3D77">
        <w:t xml:space="preserve"> and </w:t>
      </w:r>
      <w:r w:rsidRPr="00BB3D77">
        <w:t xml:space="preserve">in the Arctic </w:t>
      </w:r>
      <w:r w:rsidR="00B86539" w:rsidRPr="00BB3D77">
        <w:t xml:space="preserve">are not </w:t>
      </w:r>
      <w:r w:rsidRPr="00BB3D77">
        <w:t xml:space="preserve">adequately </w:t>
      </w:r>
      <w:r w:rsidR="00B86539" w:rsidRPr="00BB3D77">
        <w:t>adapted</w:t>
      </w:r>
      <w:r w:rsidR="001B17F9" w:rsidRPr="00BB3D77">
        <w:t xml:space="preserve"> to their needs</w:t>
      </w:r>
      <w:r w:rsidR="00B86539" w:rsidRPr="00BB3D77">
        <w:t>. There is a</w:t>
      </w:r>
      <w:r w:rsidRPr="00BB3D77">
        <w:t xml:space="preserve">lso </w:t>
      </w:r>
      <w:r w:rsidR="007E40B5" w:rsidRPr="00BB3D77">
        <w:t xml:space="preserve">a </w:t>
      </w:r>
      <w:r w:rsidR="00B86539" w:rsidRPr="00BB3D77">
        <w:t>problem of overcrowding</w:t>
      </w:r>
      <w:r w:rsidR="001B17F9" w:rsidRPr="00BB3D77">
        <w:t xml:space="preserve"> that exacerbates the challenges of delivering homecare and social services to vulnerable community members</w:t>
      </w:r>
      <w:r w:rsidR="00B86539" w:rsidRPr="00BB3D77">
        <w:t xml:space="preserve">. </w:t>
      </w:r>
    </w:p>
    <w:p w14:paraId="6E58CC34" w14:textId="54EFCBA5" w:rsidR="004D3AD2" w:rsidRPr="00BB3D77" w:rsidRDefault="00814DE6" w:rsidP="004D4EE6">
      <w:pPr>
        <w:pStyle w:val="Body"/>
      </w:pPr>
      <w:r w:rsidRPr="00BB3D77">
        <w:t>The Société de Crédit Commercial Autochtone (</w:t>
      </w:r>
      <w:r w:rsidR="007D30B0" w:rsidRPr="00BB3D77">
        <w:t>SOCCA</w:t>
      </w:r>
      <w:r w:rsidRPr="00BB3D77">
        <w:t>)</w:t>
      </w:r>
      <w:r w:rsidR="007D30B0" w:rsidRPr="00BB3D77">
        <w:t xml:space="preserve"> is a</w:t>
      </w:r>
      <w:r w:rsidRPr="00BB3D77">
        <w:t xml:space="preserve">n </w:t>
      </w:r>
      <w:r w:rsidR="006E748D">
        <w:t>IFI</w:t>
      </w:r>
      <w:r w:rsidRPr="00BB3D77">
        <w:t xml:space="preserve"> and </w:t>
      </w:r>
      <w:r w:rsidR="007D30B0" w:rsidRPr="00BB3D77">
        <w:t xml:space="preserve">non-profit corporation </w:t>
      </w:r>
      <w:r w:rsidRPr="00BB3D77">
        <w:t xml:space="preserve">working on behalf of </w:t>
      </w:r>
      <w:r w:rsidR="007D30B0" w:rsidRPr="00BB3D77">
        <w:t xml:space="preserve">Quebec First Nations since 1992. The Aboriginal Savings Corporation of Canada (ABSCAN) is a non-profit organization </w:t>
      </w:r>
      <w:r w:rsidRPr="00BB3D77">
        <w:t xml:space="preserve">affiliated with SOCCA </w:t>
      </w:r>
      <w:r w:rsidR="007D30B0" w:rsidRPr="00BB3D77">
        <w:t xml:space="preserve">that has worked </w:t>
      </w:r>
      <w:r w:rsidRPr="00BB3D77">
        <w:t>for</w:t>
      </w:r>
      <w:r w:rsidR="007D30B0" w:rsidRPr="00BB3D77">
        <w:t xml:space="preserve"> First Nations since 2005. The two organizations share a Board of Directors and management team. ABSCAN collects </w:t>
      </w:r>
      <w:r w:rsidRPr="00BB3D77">
        <w:t>deposits</w:t>
      </w:r>
      <w:r w:rsidR="007D30B0" w:rsidRPr="00BB3D77">
        <w:t xml:space="preserve"> from individual First Nations members and institutional investors and </w:t>
      </w:r>
      <w:r w:rsidR="007D30B0" w:rsidRPr="00BB3D77">
        <w:lastRenderedPageBreak/>
        <w:t xml:space="preserve">invests </w:t>
      </w:r>
      <w:r w:rsidR="00277262" w:rsidRPr="00BB3D77">
        <w:t>those savings</w:t>
      </w:r>
      <w:r w:rsidR="007D30B0" w:rsidRPr="00BB3D77">
        <w:t xml:space="preserve"> in </w:t>
      </w:r>
      <w:r w:rsidR="00277262" w:rsidRPr="00BB3D77">
        <w:t xml:space="preserve">the form of loans for First Nations </w:t>
      </w:r>
      <w:r w:rsidRPr="00BB3D77">
        <w:t>infrastructure</w:t>
      </w:r>
      <w:r w:rsidR="00277262" w:rsidRPr="00BB3D77">
        <w:t xml:space="preserve"> projects</w:t>
      </w:r>
      <w:r w:rsidR="007D30B0" w:rsidRPr="00BB3D77">
        <w:t>.</w:t>
      </w:r>
      <w:r w:rsidR="00277262" w:rsidRPr="00BB3D77">
        <w:t xml:space="preserve">  ABSCAN loans have helped individual First Nations members become homeowners and helped participating Band councils develop </w:t>
      </w:r>
      <w:r w:rsidR="00A927F2" w:rsidRPr="00BB3D77">
        <w:t xml:space="preserve">various kinds of public infrastructure including </w:t>
      </w:r>
      <w:r w:rsidR="00277262" w:rsidRPr="00BB3D77">
        <w:t>social housing</w:t>
      </w:r>
      <w:r w:rsidR="00A927F2" w:rsidRPr="00BB3D77">
        <w:t xml:space="preserve"> </w:t>
      </w:r>
      <w:r w:rsidR="00277262" w:rsidRPr="00BB3D77">
        <w:t>and facilities for clients with spec</w:t>
      </w:r>
      <w:r w:rsidR="00A927F2" w:rsidRPr="00BB3D77">
        <w:t>ific</w:t>
      </w:r>
      <w:r w:rsidR="00277262" w:rsidRPr="00BB3D77">
        <w:t xml:space="preserve"> needs (such as </w:t>
      </w:r>
      <w:r w:rsidR="00A927F2" w:rsidRPr="00BB3D77">
        <w:t>eldercare or work camps).</w:t>
      </w:r>
      <w:r w:rsidR="00277262" w:rsidRPr="00BB3D77">
        <w:t xml:space="preserve"> </w:t>
      </w:r>
    </w:p>
    <w:p w14:paraId="73B91F69" w14:textId="3CF8EF9A" w:rsidR="0083416B" w:rsidRPr="00BB3D77" w:rsidRDefault="006E748D" w:rsidP="004D4EE6">
      <w:pPr>
        <w:pStyle w:val="Body"/>
      </w:pPr>
      <w:r>
        <w:t>IFI</w:t>
      </w:r>
      <w:r w:rsidR="007C2374" w:rsidRPr="00BB3D77">
        <w:t>s</w:t>
      </w:r>
      <w:r w:rsidR="00912C18" w:rsidRPr="00BB3D77">
        <w:t xml:space="preserve"> such as SOCCA </w:t>
      </w:r>
      <w:r w:rsidR="004D3AD2" w:rsidRPr="00BB3D77">
        <w:t>and ABSCAN</w:t>
      </w:r>
      <w:r w:rsidR="00912C18" w:rsidRPr="00BB3D77">
        <w:t>, are working with client communities to finance critical healthcare infrastructure</w:t>
      </w:r>
      <w:r w:rsidR="007D30B0" w:rsidRPr="00BB3D77">
        <w:t xml:space="preserve"> including long-term care </w:t>
      </w:r>
      <w:r w:rsidR="00A927F2" w:rsidRPr="00BB3D77">
        <w:t>residences</w:t>
      </w:r>
      <w:r w:rsidR="00912C18" w:rsidRPr="00BB3D77">
        <w:t xml:space="preserve"> for</w:t>
      </w:r>
      <w:r w:rsidR="00B86539" w:rsidRPr="00BB3D77">
        <w:t xml:space="preserve"> </w:t>
      </w:r>
      <w:r w:rsidR="007D30B0" w:rsidRPr="00BB3D77">
        <w:t>Elders and community members</w:t>
      </w:r>
      <w:r w:rsidR="00B86539" w:rsidRPr="00BB3D77">
        <w:t xml:space="preserve"> </w:t>
      </w:r>
      <w:r w:rsidR="00BE6173" w:rsidRPr="00BB3D77">
        <w:t>in need of assisted living</w:t>
      </w:r>
      <w:r w:rsidR="00A927F2" w:rsidRPr="00BB3D77">
        <w:t xml:space="preserve"> facilities</w:t>
      </w:r>
      <w:r w:rsidR="00912C18" w:rsidRPr="00BB3D77">
        <w:t>.</w:t>
      </w:r>
      <w:r w:rsidR="00B86539" w:rsidRPr="00BB3D77">
        <w:t xml:space="preserve"> </w:t>
      </w:r>
      <w:r w:rsidR="00912C18" w:rsidRPr="00BB3D77">
        <w:t>After a 10 year long process the Listuguj Mi’gmaq Government</w:t>
      </w:r>
      <w:r w:rsidR="005A2136" w:rsidRPr="00BB3D77">
        <w:t xml:space="preserve"> (LMG)</w:t>
      </w:r>
      <w:r w:rsidR="00912C18" w:rsidRPr="00BB3D77">
        <w:t xml:space="preserve"> with support from SOCCA</w:t>
      </w:r>
      <w:r w:rsidR="00A927F2" w:rsidRPr="00BB3D77">
        <w:t>/ABSCAN</w:t>
      </w:r>
      <w:r w:rsidR="00912C18" w:rsidRPr="00BB3D77">
        <w:t xml:space="preserve">, CMHC, and other partners, </w:t>
      </w:r>
      <w:r w:rsidR="00EA5A98" w:rsidRPr="00BB3D77">
        <w:t>put out a call for tender</w:t>
      </w:r>
      <w:r w:rsidR="00A927F2" w:rsidRPr="00BB3D77">
        <w:t>s</w:t>
      </w:r>
      <w:r w:rsidR="00EA5A98" w:rsidRPr="00BB3D77">
        <w:t xml:space="preserve"> to construct the Waqatasg Elders Home</w:t>
      </w:r>
      <w:r w:rsidR="005A2136" w:rsidRPr="00BB3D77">
        <w:t xml:space="preserve">. The </w:t>
      </w:r>
      <w:r w:rsidR="008E50E8" w:rsidRPr="00BB3D77">
        <w:t xml:space="preserve">participating </w:t>
      </w:r>
      <w:r w:rsidR="00A927F2" w:rsidRPr="00BB3D77">
        <w:t>communit</w:t>
      </w:r>
      <w:r w:rsidR="008E50E8" w:rsidRPr="00BB3D77">
        <w:t xml:space="preserve">ies of Listuguj and Gesgapegiag </w:t>
      </w:r>
      <w:r w:rsidR="00A927F2" w:rsidRPr="00BB3D77">
        <w:t>ha</w:t>
      </w:r>
      <w:r w:rsidR="008E50E8" w:rsidRPr="00BB3D77">
        <w:t>ve</w:t>
      </w:r>
      <w:r w:rsidR="00A927F2" w:rsidRPr="00BB3D77">
        <w:t xml:space="preserve"> a pressing</w:t>
      </w:r>
      <w:r w:rsidR="005A2136" w:rsidRPr="00BB3D77">
        <w:t xml:space="preserve"> need for an </w:t>
      </w:r>
      <w:r w:rsidR="00A927F2" w:rsidRPr="00BB3D77">
        <w:t>eldercare facility that addresses the unique</w:t>
      </w:r>
      <w:r w:rsidR="005A2136" w:rsidRPr="00BB3D77">
        <w:t xml:space="preserve"> health</w:t>
      </w:r>
      <w:r w:rsidR="00A927F2" w:rsidRPr="00BB3D77">
        <w:t xml:space="preserve"> circumstances and</w:t>
      </w:r>
      <w:r w:rsidR="005A2136" w:rsidRPr="00BB3D77">
        <w:t xml:space="preserve"> </w:t>
      </w:r>
      <w:r w:rsidR="00A927F2" w:rsidRPr="00BB3D77">
        <w:t>cultural needs</w:t>
      </w:r>
      <w:r w:rsidR="005A2136" w:rsidRPr="00BB3D77">
        <w:t xml:space="preserve"> </w:t>
      </w:r>
      <w:r w:rsidR="00A927F2" w:rsidRPr="00BB3D77">
        <w:t xml:space="preserve">of </w:t>
      </w:r>
      <w:r w:rsidR="008E50E8" w:rsidRPr="00BB3D77">
        <w:t>their</w:t>
      </w:r>
      <w:r w:rsidR="005A2136" w:rsidRPr="00BB3D77">
        <w:t xml:space="preserve"> ageing population</w:t>
      </w:r>
      <w:r w:rsidR="008E50E8" w:rsidRPr="00BB3D77">
        <w:t>s</w:t>
      </w:r>
      <w:r w:rsidR="00A927F2" w:rsidRPr="00BB3D77">
        <w:t>.</w:t>
      </w:r>
      <w:r w:rsidR="005A2136" w:rsidRPr="00BB3D77">
        <w:t xml:space="preserve"> </w:t>
      </w:r>
    </w:p>
    <w:p w14:paraId="3916A5A9" w14:textId="6FCECE3F" w:rsidR="005A2136" w:rsidRPr="00BB3D77" w:rsidRDefault="008E50E8" w:rsidP="008E50E8">
      <w:pPr>
        <w:pStyle w:val="Body"/>
      </w:pPr>
      <w:r w:rsidRPr="00BB3D77">
        <w:t>The</w:t>
      </w:r>
      <w:r w:rsidR="0083416B" w:rsidRPr="00BB3D77">
        <w:t xml:space="preserve"> proposed centre </w:t>
      </w:r>
      <w:r w:rsidRPr="00BB3D77">
        <w:t>will</w:t>
      </w:r>
      <w:r w:rsidR="004D4EE6" w:rsidRPr="00BB3D77">
        <w:t xml:space="preserve"> </w:t>
      </w:r>
      <w:r w:rsidR="0083416B" w:rsidRPr="00BB3D77">
        <w:t>provide both assisted living and long</w:t>
      </w:r>
      <w:r w:rsidRPr="00BB3D77">
        <w:t>-</w:t>
      </w:r>
      <w:r w:rsidR="0083416B" w:rsidRPr="00BB3D77">
        <w:t xml:space="preserve">term continuing care. </w:t>
      </w:r>
      <w:r w:rsidRPr="00BB3D77">
        <w:t>The</w:t>
      </w:r>
      <w:r w:rsidR="0083416B" w:rsidRPr="00BB3D77">
        <w:t xml:space="preserve"> communities have a </w:t>
      </w:r>
      <w:r w:rsidRPr="00BB3D77">
        <w:t xml:space="preserve">combined </w:t>
      </w:r>
      <w:r w:rsidR="0083416B" w:rsidRPr="00BB3D77">
        <w:t>need for eight assisted</w:t>
      </w:r>
      <w:r w:rsidR="004D4EE6" w:rsidRPr="00BB3D77">
        <w:t xml:space="preserve"> </w:t>
      </w:r>
      <w:r w:rsidR="0083416B" w:rsidRPr="00BB3D77">
        <w:t>living units (Type 1 and 2 care) and eight long-term care beds (Type 3 and 4</w:t>
      </w:r>
      <w:r w:rsidR="004D4EE6" w:rsidRPr="00BB3D77">
        <w:t xml:space="preserve"> </w:t>
      </w:r>
      <w:r w:rsidR="0083416B" w:rsidRPr="00BB3D77">
        <w:t xml:space="preserve">care). </w:t>
      </w:r>
      <w:r w:rsidRPr="00BB3D77">
        <w:t>LMG</w:t>
      </w:r>
      <w:r w:rsidR="0083416B" w:rsidRPr="00BB3D77">
        <w:t xml:space="preserve"> </w:t>
      </w:r>
      <w:r w:rsidRPr="00BB3D77">
        <w:t>expects</w:t>
      </w:r>
      <w:r w:rsidR="0083416B" w:rsidRPr="00BB3D77">
        <w:t xml:space="preserve"> that planning, building</w:t>
      </w:r>
      <w:r w:rsidR="00130207" w:rsidRPr="00BB3D77">
        <w:t>,</w:t>
      </w:r>
      <w:r w:rsidR="0083416B" w:rsidRPr="00BB3D77">
        <w:t xml:space="preserve"> and operating </w:t>
      </w:r>
      <w:r w:rsidRPr="00BB3D77">
        <w:t>the centre</w:t>
      </w:r>
      <w:r w:rsidR="004D4EE6" w:rsidRPr="00BB3D77">
        <w:t xml:space="preserve"> </w:t>
      </w:r>
      <w:r w:rsidR="0083416B" w:rsidRPr="00BB3D77">
        <w:t>will create immediate and long</w:t>
      </w:r>
      <w:r w:rsidRPr="00BB3D77">
        <w:t>-</w:t>
      </w:r>
      <w:r w:rsidR="0083416B" w:rsidRPr="00BB3D77">
        <w:t>term employment opportunities in the community</w:t>
      </w:r>
      <w:r w:rsidR="004D4EE6" w:rsidRPr="00BB3D77">
        <w:t xml:space="preserve"> </w:t>
      </w:r>
      <w:r w:rsidR="0083416B" w:rsidRPr="00BB3D77">
        <w:t>and local area</w:t>
      </w:r>
      <w:r w:rsidRPr="00BB3D77">
        <w:t>. The LMG’s Elders council came together in support of the project and named it</w:t>
      </w:r>
      <w:r w:rsidR="005A2136" w:rsidRPr="00BB3D77">
        <w:t xml:space="preserve"> the Waqatasg</w:t>
      </w:r>
      <w:r w:rsidR="004D4EE6" w:rsidRPr="00BB3D77">
        <w:t xml:space="preserve"> </w:t>
      </w:r>
      <w:r w:rsidR="005A2136" w:rsidRPr="00BB3D77">
        <w:t xml:space="preserve">Elders Home, which </w:t>
      </w:r>
      <w:r w:rsidRPr="00BB3D77">
        <w:t>in English means</w:t>
      </w:r>
      <w:r w:rsidR="005A2136" w:rsidRPr="00BB3D77">
        <w:t xml:space="preserve"> the Northern Lights Elders Home. The</w:t>
      </w:r>
      <w:r w:rsidRPr="00BB3D77">
        <w:t>ir</w:t>
      </w:r>
      <w:r w:rsidR="005A2136" w:rsidRPr="00BB3D77">
        <w:t xml:space="preserve"> vision </w:t>
      </w:r>
      <w:r w:rsidRPr="00BB3D77">
        <w:t xml:space="preserve">is </w:t>
      </w:r>
      <w:r w:rsidR="005A2136" w:rsidRPr="00BB3D77">
        <w:t xml:space="preserve">to </w:t>
      </w:r>
      <w:r w:rsidRPr="00BB3D77">
        <w:t>have</w:t>
      </w:r>
      <w:r w:rsidR="005A2136" w:rsidRPr="00BB3D77">
        <w:t xml:space="preserve"> a home in the community that </w:t>
      </w:r>
      <w:r w:rsidRPr="00BB3D77">
        <w:t>reflects</w:t>
      </w:r>
      <w:r w:rsidR="005A2136" w:rsidRPr="00BB3D77">
        <w:t xml:space="preserve"> Mi’gmaq values. </w:t>
      </w:r>
    </w:p>
    <w:p w14:paraId="1EDCC0D3" w14:textId="280386D4" w:rsidR="00B86539" w:rsidRPr="00BB3D77" w:rsidRDefault="00AF4587" w:rsidP="00AF4587">
      <w:pPr>
        <w:pStyle w:val="Heading5"/>
      </w:pPr>
      <w:bookmarkStart w:id="60" w:name="_Toc136865108"/>
      <w:r w:rsidRPr="00BB3D77">
        <w:t xml:space="preserve">Indigenous </w:t>
      </w:r>
      <w:r w:rsidR="00132EA9">
        <w:t>h</w:t>
      </w:r>
      <w:r w:rsidRPr="00BB3D77">
        <w:t xml:space="preserve">ealth </w:t>
      </w:r>
      <w:r w:rsidR="00132EA9">
        <w:t>p</w:t>
      </w:r>
      <w:r w:rsidRPr="00BB3D77">
        <w:t>rofessionals</w:t>
      </w:r>
      <w:bookmarkEnd w:id="60"/>
    </w:p>
    <w:p w14:paraId="5CA27178" w14:textId="42501318" w:rsidR="00C02BC2" w:rsidRPr="00BB3D77" w:rsidRDefault="00F03293" w:rsidP="004C2BC2">
      <w:pPr>
        <w:pStyle w:val="Body"/>
      </w:pPr>
      <w:r w:rsidRPr="00BB3D77">
        <w:t>Doctors and dentists are essential healthcare service providers, yet Indigenous peoples continue to be drastically underrepresented</w:t>
      </w:r>
      <w:r w:rsidR="00A34AEF" w:rsidRPr="00BB3D77">
        <w:t xml:space="preserve"> among these professions</w:t>
      </w:r>
      <w:r w:rsidRPr="00BB3D77">
        <w:t xml:space="preserve">. </w:t>
      </w:r>
      <w:r w:rsidR="00EF4D5C" w:rsidRPr="00BB3D77">
        <w:t xml:space="preserve">This is reflected in the absence of doctors’ offices among clients represented in the NACCA dataset. Nevertheless, Indigenous healthcare champions have received support and recognition from their local </w:t>
      </w:r>
      <w:r w:rsidR="006E748D">
        <w:t>IFI</w:t>
      </w:r>
      <w:r w:rsidR="007C2374" w:rsidRPr="00BB3D77">
        <w:t>s</w:t>
      </w:r>
      <w:r w:rsidR="00EF4D5C" w:rsidRPr="00BB3D77">
        <w:t xml:space="preserve">. </w:t>
      </w:r>
    </w:p>
    <w:p w14:paraId="6DF620F8" w14:textId="3A69B197" w:rsidR="00E262EB" w:rsidRPr="00BB3D77" w:rsidRDefault="004C2BC2" w:rsidP="00E262EB">
      <w:pPr>
        <w:pStyle w:val="Body"/>
      </w:pPr>
      <w:r w:rsidRPr="00BB3D77">
        <w:t xml:space="preserve">In British Columbia the </w:t>
      </w:r>
      <w:r w:rsidR="006E748D">
        <w:t>IFI</w:t>
      </w:r>
      <w:r w:rsidRPr="00BB3D77">
        <w:t xml:space="preserve"> </w:t>
      </w:r>
      <w:r w:rsidR="00E262EB" w:rsidRPr="00BB3D77">
        <w:t>ANTCO</w:t>
      </w:r>
      <w:r w:rsidRPr="00BB3D77">
        <w:t xml:space="preserve"> presented its</w:t>
      </w:r>
      <w:r w:rsidR="00E262EB" w:rsidRPr="00BB3D77">
        <w:t xml:space="preserve"> 2020 Female Business of the Year Award </w:t>
      </w:r>
      <w:r w:rsidRPr="00BB3D77">
        <w:t>to</w:t>
      </w:r>
      <w:r w:rsidR="00E262EB" w:rsidRPr="00BB3D77">
        <w:t xml:space="preserve"> </w:t>
      </w:r>
      <w:r w:rsidRPr="00BB3D77">
        <w:t xml:space="preserve">Ms. </w:t>
      </w:r>
      <w:r w:rsidR="00E262EB" w:rsidRPr="00BB3D77">
        <w:t>Jayme Austin</w:t>
      </w:r>
      <w:r w:rsidRPr="00BB3D77">
        <w:t>. Austin owns</w:t>
      </w:r>
      <w:r w:rsidR="00E262EB" w:rsidRPr="00BB3D77">
        <w:t xml:space="preserve"> Fine Dental Hygiene (FDH). In 2018, </w:t>
      </w:r>
      <w:r w:rsidRPr="00BB3D77">
        <w:t xml:space="preserve">an </w:t>
      </w:r>
      <w:r w:rsidR="00E262EB" w:rsidRPr="00BB3D77">
        <w:t>ANTCO</w:t>
      </w:r>
      <w:r w:rsidRPr="00BB3D77">
        <w:t xml:space="preserve"> loan helped </w:t>
      </w:r>
      <w:r w:rsidR="00E262EB" w:rsidRPr="00BB3D77">
        <w:t>Ms. Austin</w:t>
      </w:r>
      <w:r w:rsidRPr="00BB3D77">
        <w:t xml:space="preserve"> acquire FDH</w:t>
      </w:r>
      <w:r w:rsidR="00EF4D5C" w:rsidRPr="00BB3D77">
        <w:t xml:space="preserve"> from her former employer, an </w:t>
      </w:r>
      <w:r w:rsidRPr="00BB3D77">
        <w:t>existing</w:t>
      </w:r>
      <w:r w:rsidR="00E262EB" w:rsidRPr="00BB3D77">
        <w:t xml:space="preserve"> Kelowna based </w:t>
      </w:r>
      <w:r w:rsidRPr="00BB3D77">
        <w:t>business that</w:t>
      </w:r>
      <w:r w:rsidR="00E262EB" w:rsidRPr="00BB3D77">
        <w:t xml:space="preserve"> provide</w:t>
      </w:r>
      <w:r w:rsidRPr="00BB3D77">
        <w:t>d</w:t>
      </w:r>
      <w:r w:rsidR="00E262EB" w:rsidRPr="00BB3D77">
        <w:t xml:space="preserve"> dental hygiene services to residents in long</w:t>
      </w:r>
      <w:r w:rsidR="00EF4D5C" w:rsidRPr="00BB3D77">
        <w:t>-</w:t>
      </w:r>
      <w:r w:rsidR="00E262EB" w:rsidRPr="00BB3D77">
        <w:t xml:space="preserve">term care facilities </w:t>
      </w:r>
      <w:r w:rsidRPr="00BB3D77">
        <w:t>in the</w:t>
      </w:r>
      <w:r w:rsidR="00E262EB" w:rsidRPr="00BB3D77">
        <w:t xml:space="preserve"> Okanagan</w:t>
      </w:r>
      <w:r w:rsidRPr="00BB3D77">
        <w:t xml:space="preserve"> Valley</w:t>
      </w:r>
      <w:r w:rsidR="00E262EB" w:rsidRPr="00BB3D77">
        <w:t>.</w:t>
      </w:r>
    </w:p>
    <w:p w14:paraId="2D75710A" w14:textId="0576B84F" w:rsidR="00842E42" w:rsidRPr="00BB3D77" w:rsidRDefault="00E262EB" w:rsidP="00E262EB">
      <w:pPr>
        <w:pStyle w:val="Body"/>
      </w:pPr>
      <w:r w:rsidRPr="00BB3D77">
        <w:t xml:space="preserve">FDH </w:t>
      </w:r>
      <w:r w:rsidR="00EF4D5C" w:rsidRPr="00BB3D77">
        <w:t xml:space="preserve">is unique in </w:t>
      </w:r>
      <w:r w:rsidR="004C2BC2" w:rsidRPr="00BB3D77">
        <w:t>bringing</w:t>
      </w:r>
      <w:r w:rsidRPr="00BB3D77">
        <w:t xml:space="preserve"> </w:t>
      </w:r>
      <w:r w:rsidR="004C2BC2" w:rsidRPr="00BB3D77">
        <w:t xml:space="preserve">dental </w:t>
      </w:r>
      <w:r w:rsidRPr="00BB3D77">
        <w:t xml:space="preserve">hygiene services to </w:t>
      </w:r>
      <w:r w:rsidR="004C2BC2" w:rsidRPr="00BB3D77">
        <w:t>customers who are physically</w:t>
      </w:r>
      <w:r w:rsidRPr="00BB3D77">
        <w:t xml:space="preserve"> </w:t>
      </w:r>
      <w:r w:rsidR="004C2BC2" w:rsidRPr="00BB3D77">
        <w:t>un</w:t>
      </w:r>
      <w:r w:rsidRPr="00BB3D77">
        <w:t>able to</w:t>
      </w:r>
      <w:r w:rsidR="004C2BC2" w:rsidRPr="00BB3D77">
        <w:t xml:space="preserve"> travel</w:t>
      </w:r>
      <w:r w:rsidRPr="00BB3D77">
        <w:t>. Ms. Austin</w:t>
      </w:r>
      <w:r w:rsidR="004C2BC2" w:rsidRPr="00BB3D77">
        <w:t xml:space="preserve"> is </w:t>
      </w:r>
      <w:r w:rsidRPr="00BB3D77">
        <w:t>a member of Métis Nation B</w:t>
      </w:r>
      <w:r w:rsidR="00EF4D5C" w:rsidRPr="00BB3D77">
        <w:t xml:space="preserve">ritish </w:t>
      </w:r>
      <w:r w:rsidRPr="00BB3D77">
        <w:t>C</w:t>
      </w:r>
      <w:r w:rsidR="00EF4D5C" w:rsidRPr="00BB3D77">
        <w:t>olumbia.</w:t>
      </w:r>
      <w:r w:rsidRPr="00BB3D77">
        <w:t xml:space="preserve"> After completing </w:t>
      </w:r>
      <w:r w:rsidR="00EF4D5C" w:rsidRPr="00BB3D77">
        <w:t xml:space="preserve">an </w:t>
      </w:r>
      <w:r w:rsidR="007E538E" w:rsidRPr="00BB3D77">
        <w:t xml:space="preserve">undergraduate degree </w:t>
      </w:r>
      <w:r w:rsidR="00EF4D5C" w:rsidRPr="00BB3D77">
        <w:t xml:space="preserve">and </w:t>
      </w:r>
      <w:r w:rsidR="007E538E" w:rsidRPr="00BB3D77">
        <w:t>acquir</w:t>
      </w:r>
      <w:r w:rsidR="00EF4D5C" w:rsidRPr="00BB3D77">
        <w:t>ing</w:t>
      </w:r>
      <w:r w:rsidRPr="00BB3D77">
        <w:t xml:space="preserve"> her licence to practice dental hygiene in residential care, </w:t>
      </w:r>
      <w:r w:rsidR="00EF4D5C" w:rsidRPr="00BB3D77">
        <w:t>Austin</w:t>
      </w:r>
      <w:r w:rsidRPr="00BB3D77">
        <w:t xml:space="preserve"> </w:t>
      </w:r>
      <w:r w:rsidR="007E538E" w:rsidRPr="00BB3D77">
        <w:t>worked</w:t>
      </w:r>
      <w:r w:rsidRPr="00BB3D77">
        <w:t xml:space="preserve"> </w:t>
      </w:r>
      <w:r w:rsidR="007E538E" w:rsidRPr="00BB3D77">
        <w:t>at FDH for five years</w:t>
      </w:r>
      <w:r w:rsidRPr="00BB3D77">
        <w:t xml:space="preserve"> </w:t>
      </w:r>
      <w:r w:rsidR="007E538E" w:rsidRPr="00BB3D77">
        <w:t xml:space="preserve">before </w:t>
      </w:r>
      <w:r w:rsidRPr="00BB3D77">
        <w:t xml:space="preserve">being offered the business for sale. </w:t>
      </w:r>
      <w:r w:rsidR="00CF44FE" w:rsidRPr="00BB3D77">
        <w:t>With support and</w:t>
      </w:r>
      <w:r w:rsidRPr="00BB3D77">
        <w:t xml:space="preserve"> mentorship </w:t>
      </w:r>
      <w:r w:rsidR="00CF44FE" w:rsidRPr="00BB3D77">
        <w:t xml:space="preserve">from the original owner, she </w:t>
      </w:r>
      <w:r w:rsidRPr="00BB3D77">
        <w:t xml:space="preserve">worked to secure additional contracts in Vernon and </w:t>
      </w:r>
      <w:r w:rsidRPr="00BB3D77">
        <w:lastRenderedPageBreak/>
        <w:t xml:space="preserve">Penticton, each with 100 beds. </w:t>
      </w:r>
      <w:r w:rsidR="00CF44FE" w:rsidRPr="00BB3D77">
        <w:t>As of 2020 t</w:t>
      </w:r>
      <w:r w:rsidRPr="00BB3D77">
        <w:t xml:space="preserve">he business </w:t>
      </w:r>
      <w:r w:rsidR="00CF44FE" w:rsidRPr="00BB3D77">
        <w:t>has</w:t>
      </w:r>
      <w:r w:rsidRPr="00BB3D77">
        <w:t xml:space="preserve"> 22 contracts with long term care facilities</w:t>
      </w:r>
      <w:r w:rsidR="00CF44FE" w:rsidRPr="00BB3D77">
        <w:t xml:space="preserve"> and</w:t>
      </w:r>
      <w:r w:rsidRPr="00BB3D77">
        <w:t xml:space="preserve"> provides yearly oral health assessments and care plans to all residents in </w:t>
      </w:r>
      <w:r w:rsidR="00CF44FE" w:rsidRPr="00BB3D77">
        <w:t>more than half of</w:t>
      </w:r>
      <w:r w:rsidRPr="00BB3D77">
        <w:t xml:space="preserve"> the</w:t>
      </w:r>
      <w:r w:rsidR="00CF44FE" w:rsidRPr="00BB3D77">
        <w:t>m</w:t>
      </w:r>
      <w:r w:rsidRPr="00BB3D77">
        <w:t xml:space="preserve">. </w:t>
      </w:r>
    </w:p>
    <w:p w14:paraId="3B1CE5CB" w14:textId="14D5082C" w:rsidR="00842E42" w:rsidRPr="00BB3D77" w:rsidRDefault="00AF4587" w:rsidP="00AF4587">
      <w:pPr>
        <w:pStyle w:val="Heading5"/>
      </w:pPr>
      <w:bookmarkStart w:id="61" w:name="_Toc136865109"/>
      <w:r w:rsidRPr="00BB3D77">
        <w:t xml:space="preserve">Indigenous </w:t>
      </w:r>
      <w:r w:rsidR="00132EA9">
        <w:t>m</w:t>
      </w:r>
      <w:r w:rsidR="00842E42" w:rsidRPr="00BB3D77">
        <w:t xml:space="preserve">ental </w:t>
      </w:r>
      <w:r w:rsidR="00132EA9">
        <w:t>h</w:t>
      </w:r>
      <w:r w:rsidR="00842E42" w:rsidRPr="00BB3D77">
        <w:t>ealth</w:t>
      </w:r>
      <w:r w:rsidRPr="00BB3D77">
        <w:t xml:space="preserve"> and </w:t>
      </w:r>
      <w:r w:rsidR="00132EA9">
        <w:t>w</w:t>
      </w:r>
      <w:r w:rsidRPr="00BB3D77">
        <w:t>ell</w:t>
      </w:r>
      <w:r w:rsidR="00362E1F" w:rsidRPr="00BB3D77">
        <w:t>being</w:t>
      </w:r>
      <w:bookmarkEnd w:id="61"/>
    </w:p>
    <w:p w14:paraId="73BF15C3" w14:textId="3AB05759" w:rsidR="00842E42" w:rsidRPr="00BB3D77" w:rsidRDefault="006E748D" w:rsidP="00842E42">
      <w:pPr>
        <w:pStyle w:val="Body"/>
      </w:pPr>
      <w:r>
        <w:t>IFI</w:t>
      </w:r>
      <w:r w:rsidR="007C2374" w:rsidRPr="00BB3D77">
        <w:t>s</w:t>
      </w:r>
      <w:r w:rsidR="00CE6282" w:rsidRPr="00BB3D77">
        <w:t xml:space="preserve"> </w:t>
      </w:r>
      <w:r w:rsidR="00842E42" w:rsidRPr="00BB3D77">
        <w:t xml:space="preserve">contribute to </w:t>
      </w:r>
      <w:r w:rsidR="00CE6282" w:rsidRPr="00BB3D77">
        <w:t xml:space="preserve">the </w:t>
      </w:r>
      <w:r w:rsidR="00842E42" w:rsidRPr="00BB3D77">
        <w:t xml:space="preserve">mental health </w:t>
      </w:r>
      <w:r w:rsidR="00CE6282" w:rsidRPr="00BB3D77">
        <w:t xml:space="preserve">and wellbeing of Indigenous communities </w:t>
      </w:r>
      <w:r w:rsidR="00842E42" w:rsidRPr="00BB3D77">
        <w:t xml:space="preserve">through </w:t>
      </w:r>
      <w:r w:rsidR="00CE6282" w:rsidRPr="00BB3D77">
        <w:t>various means. They direct investments to a range of</w:t>
      </w:r>
      <w:r w:rsidR="00842E42" w:rsidRPr="00BB3D77">
        <w:t xml:space="preserve"> industries and businesses </w:t>
      </w:r>
      <w:r w:rsidR="00CE6282" w:rsidRPr="00BB3D77">
        <w:t>that promote local wellbeing</w:t>
      </w:r>
      <w:r w:rsidR="00842E42" w:rsidRPr="00BB3D77">
        <w:t>.</w:t>
      </w:r>
      <w:r w:rsidR="00CE6282" w:rsidRPr="00BB3D77">
        <w:t xml:space="preserve"> They direct investments to industries that strengthen Indigenous cultural identities, including a variety of businesses </w:t>
      </w:r>
      <w:r w:rsidR="00CF44FE" w:rsidRPr="00BB3D77">
        <w:t>that provide authentic</w:t>
      </w:r>
      <w:r w:rsidR="00CE6282" w:rsidRPr="00BB3D77">
        <w:t xml:space="preserve"> Indigenous tourism</w:t>
      </w:r>
      <w:r w:rsidR="00CF44FE" w:rsidRPr="00BB3D77">
        <w:t xml:space="preserve"> experiences</w:t>
      </w:r>
      <w:r w:rsidR="00CE6282" w:rsidRPr="00BB3D77">
        <w:t xml:space="preserve">. </w:t>
      </w:r>
      <w:r w:rsidR="003D74F3" w:rsidRPr="00BB3D77">
        <w:t xml:space="preserve">Aside from offering financial services and training, </w:t>
      </w:r>
      <w:r>
        <w:t>IFI</w:t>
      </w:r>
      <w:r w:rsidR="007C2374" w:rsidRPr="00BB3D77">
        <w:t>s</w:t>
      </w:r>
      <w:r w:rsidR="00CE6282" w:rsidRPr="00BB3D77">
        <w:t xml:space="preserve"> </w:t>
      </w:r>
      <w:r w:rsidR="00CF44FE" w:rsidRPr="00BB3D77">
        <w:t xml:space="preserve">have </w:t>
      </w:r>
      <w:r w:rsidR="00CE6282" w:rsidRPr="00BB3D77">
        <w:t xml:space="preserve">also </w:t>
      </w:r>
      <w:r w:rsidR="003D74F3" w:rsidRPr="00BB3D77">
        <w:t>undertake</w:t>
      </w:r>
      <w:r w:rsidR="00CF44FE" w:rsidRPr="00BB3D77">
        <w:t>n</w:t>
      </w:r>
      <w:r w:rsidR="00CE6282" w:rsidRPr="00BB3D77">
        <w:t xml:space="preserve"> charitable </w:t>
      </w:r>
      <w:r w:rsidR="003D74F3" w:rsidRPr="00BB3D77">
        <w:t xml:space="preserve">initiatives that focus on empowering and healing </w:t>
      </w:r>
      <w:r w:rsidR="00CF44FE" w:rsidRPr="00BB3D77">
        <w:t xml:space="preserve">members of </w:t>
      </w:r>
      <w:r w:rsidR="00A62704" w:rsidRPr="00BB3D77">
        <w:t>the</w:t>
      </w:r>
      <w:r w:rsidR="003D74F3" w:rsidRPr="00BB3D77">
        <w:t xml:space="preserve"> communities</w:t>
      </w:r>
      <w:r w:rsidR="00A62704" w:rsidRPr="00BB3D77">
        <w:t xml:space="preserve"> they serve</w:t>
      </w:r>
      <w:r w:rsidR="003D74F3" w:rsidRPr="00BB3D77">
        <w:t>.</w:t>
      </w:r>
      <w:r w:rsidR="00842E42" w:rsidRPr="00BB3D77">
        <w:t xml:space="preserve"> </w:t>
      </w:r>
    </w:p>
    <w:p w14:paraId="6C0EA5A6" w14:textId="77777777" w:rsidR="00FF6FF7" w:rsidRPr="00BB3D77" w:rsidRDefault="00FF6FF7" w:rsidP="00ED55E3">
      <w:pPr>
        <w:pStyle w:val="Heading6"/>
      </w:pPr>
      <w:bookmarkStart w:id="62" w:name="_Toc136865110"/>
      <w:r w:rsidRPr="00BB3D77">
        <w:t>Crow’s Light Healing and Discovery</w:t>
      </w:r>
      <w:bookmarkEnd w:id="62"/>
    </w:p>
    <w:p w14:paraId="08F5CBD1" w14:textId="017F1309" w:rsidR="00FF6FF7" w:rsidRPr="00BB3D77" w:rsidRDefault="00FF6FF7" w:rsidP="00ED55E3">
      <w:pPr>
        <w:pStyle w:val="Body"/>
      </w:pPr>
      <w:r w:rsidRPr="00BB3D77">
        <w:t>In April 2021, Diane Strand launched Crow’s Light Healing and Discovery. Based in Haines Junction, Yukon, her practice offers a non-invasive healing therapy that seeks to help her clients find balance. Ms. Strand specializes in Advanced Integrative Energy Healing which focuses on addressing stress, anxiety, and trauma related conditions. She is a member of the Champagne and Aishihik First Nations.</w:t>
      </w:r>
    </w:p>
    <w:p w14:paraId="0C6350E9" w14:textId="76657DA3" w:rsidR="00E85C4A" w:rsidRPr="00BB3D77" w:rsidRDefault="00C36D8B" w:rsidP="00ED55E3">
      <w:pPr>
        <w:pStyle w:val="Body"/>
        <w:rPr>
          <w:rFonts w:cs="Times New Roman"/>
        </w:rPr>
      </w:pPr>
      <w:r w:rsidRPr="00BB3D77">
        <w:t xml:space="preserve">Near the beginning of her business journey </w:t>
      </w:r>
      <w:r w:rsidR="00E85C4A" w:rsidRPr="00BB3D77">
        <w:t xml:space="preserve">Ms. Strand reached out to </w:t>
      </w:r>
      <w:r w:rsidR="004C30EF" w:rsidRPr="00BB3D77">
        <w:t xml:space="preserve">her local </w:t>
      </w:r>
      <w:r w:rsidR="006E748D">
        <w:t>IFI</w:t>
      </w:r>
      <w:r w:rsidR="004C30EF" w:rsidRPr="00BB3D77">
        <w:t xml:space="preserve">, </w:t>
      </w:r>
      <w:r w:rsidR="007464A7" w:rsidRPr="00BB3D77">
        <w:t>dänä Näye Ventures (</w:t>
      </w:r>
      <w:r w:rsidR="002F45EE">
        <w:t>d</w:t>
      </w:r>
      <w:r w:rsidR="00E85C4A" w:rsidRPr="00BB3D77">
        <w:t>NV</w:t>
      </w:r>
      <w:r w:rsidR="007464A7" w:rsidRPr="00BB3D77">
        <w:t>)</w:t>
      </w:r>
      <w:r w:rsidRPr="00BB3D77">
        <w:t>.</w:t>
      </w:r>
      <w:r w:rsidR="007464A7" w:rsidRPr="00BB3D77">
        <w:t xml:space="preserve"> </w:t>
      </w:r>
      <w:r w:rsidR="002F45EE">
        <w:t>d</w:t>
      </w:r>
      <w:r w:rsidR="001220EA" w:rsidRPr="00BB3D77">
        <w:t xml:space="preserve">NV’s </w:t>
      </w:r>
      <w:r w:rsidR="00E85C4A" w:rsidRPr="00BB3D77">
        <w:t xml:space="preserve">business services department </w:t>
      </w:r>
      <w:r w:rsidR="001220EA" w:rsidRPr="00BB3D77">
        <w:t xml:space="preserve">worked closely with </w:t>
      </w:r>
      <w:r w:rsidRPr="00BB3D77">
        <w:t xml:space="preserve">her, providing </w:t>
      </w:r>
      <w:r w:rsidR="00E85C4A" w:rsidRPr="00BB3D77">
        <w:t xml:space="preserve">personalized training </w:t>
      </w:r>
      <w:r w:rsidR="001220EA" w:rsidRPr="00BB3D77">
        <w:t xml:space="preserve">and </w:t>
      </w:r>
      <w:r w:rsidR="00E85C4A" w:rsidRPr="00BB3D77">
        <w:t xml:space="preserve">coaching </w:t>
      </w:r>
      <w:r w:rsidRPr="00BB3D77">
        <w:t>while she developed</w:t>
      </w:r>
      <w:r w:rsidR="002B0BD6" w:rsidRPr="00BB3D77">
        <w:t xml:space="preserve"> her business plan</w:t>
      </w:r>
      <w:r w:rsidR="00E85C4A" w:rsidRPr="00BB3D77">
        <w:t>. </w:t>
      </w:r>
      <w:r w:rsidR="00573069" w:rsidRPr="00BB3D77">
        <w:t xml:space="preserve">Through </w:t>
      </w:r>
      <w:r w:rsidR="002F45EE">
        <w:t>d</w:t>
      </w:r>
      <w:r w:rsidR="00573069" w:rsidRPr="00BB3D77">
        <w:t>NV</w:t>
      </w:r>
      <w:r w:rsidRPr="00BB3D77">
        <w:t>,</w:t>
      </w:r>
      <w:r w:rsidR="00573069" w:rsidRPr="00BB3D77">
        <w:t xml:space="preserve"> </w:t>
      </w:r>
      <w:r w:rsidRPr="00BB3D77">
        <w:t>S</w:t>
      </w:r>
      <w:r w:rsidR="001D7F3A" w:rsidRPr="00BB3D77">
        <w:t xml:space="preserve">trand </w:t>
      </w:r>
      <w:r w:rsidR="00573069" w:rsidRPr="00BB3D77">
        <w:t>also accessed</w:t>
      </w:r>
      <w:r w:rsidR="00E85C4A" w:rsidRPr="00BB3D77">
        <w:t xml:space="preserve"> contribution dollars from the </w:t>
      </w:r>
      <w:r w:rsidR="006E748D">
        <w:t>IFI</w:t>
      </w:r>
      <w:r w:rsidR="00573069" w:rsidRPr="00BB3D77">
        <w:t xml:space="preserve">’s </w:t>
      </w:r>
      <w:r w:rsidR="00E85C4A" w:rsidRPr="00BB3D77">
        <w:t xml:space="preserve">Entrepreneur and Business Development Program </w:t>
      </w:r>
      <w:r w:rsidR="00573069" w:rsidRPr="00BB3D77">
        <w:t>which</w:t>
      </w:r>
      <w:r w:rsidR="00E85C4A" w:rsidRPr="00BB3D77">
        <w:t xml:space="preserve"> offset start-up costs.</w:t>
      </w:r>
      <w:r w:rsidR="001D7F3A" w:rsidRPr="00BB3D77">
        <w:t xml:space="preserve"> </w:t>
      </w:r>
      <w:r w:rsidR="00E85C4A" w:rsidRPr="00BB3D77">
        <w:t> </w:t>
      </w:r>
    </w:p>
    <w:p w14:paraId="7A752A53" w14:textId="7A9DD63B" w:rsidR="003D74F3" w:rsidRPr="00BB3D77" w:rsidRDefault="00611F63" w:rsidP="003D74F3">
      <w:pPr>
        <w:pStyle w:val="Heading6"/>
      </w:pPr>
      <w:bookmarkStart w:id="63" w:name="_Toc136865111"/>
      <w:r w:rsidRPr="00BB3D77">
        <w:t xml:space="preserve">Wellbeing and </w:t>
      </w:r>
      <w:r w:rsidR="003D74F3" w:rsidRPr="00BB3D77">
        <w:t xml:space="preserve">Indigenous </w:t>
      </w:r>
      <w:r w:rsidR="00132EA9">
        <w:t>c</w:t>
      </w:r>
      <w:r w:rsidR="00860BFF" w:rsidRPr="00BB3D77">
        <w:t xml:space="preserve">ultural </w:t>
      </w:r>
      <w:r w:rsidR="00132EA9">
        <w:t>a</w:t>
      </w:r>
      <w:r w:rsidR="00860BFF" w:rsidRPr="00BB3D77">
        <w:t>ctivities</w:t>
      </w:r>
      <w:bookmarkEnd w:id="63"/>
      <w:r w:rsidR="008A7369" w:rsidRPr="00BB3D77">
        <w:t xml:space="preserve"> </w:t>
      </w:r>
    </w:p>
    <w:p w14:paraId="211120F7" w14:textId="1B3FF238" w:rsidR="004927BD" w:rsidRPr="00BB3D77" w:rsidRDefault="004927BD" w:rsidP="00860BFF">
      <w:pPr>
        <w:pStyle w:val="Body"/>
      </w:pPr>
      <w:r w:rsidRPr="00BB3D77">
        <w:t xml:space="preserve"> </w:t>
      </w:r>
      <w:r w:rsidR="003A26C8" w:rsidRPr="00BB3D77">
        <w:t xml:space="preserve">From 2016 to 2021, </w:t>
      </w:r>
      <w:r w:rsidR="006E748D">
        <w:t>IFI</w:t>
      </w:r>
      <w:r w:rsidR="003A26C8" w:rsidRPr="00BB3D77">
        <w:t xml:space="preserve">-driven investments had a direct GDP impact of almost $13 million on Indigenous performing arts, sports, and </w:t>
      </w:r>
      <w:r w:rsidR="003D023F" w:rsidRPr="00BB3D77">
        <w:t xml:space="preserve">cultural </w:t>
      </w:r>
      <w:r w:rsidR="003A26C8" w:rsidRPr="00BB3D77">
        <w:t xml:space="preserve">heritage institutions. 82 per cent of this impact was tied to activities located on-reserve. In addition, </w:t>
      </w:r>
      <w:r w:rsidR="006E748D">
        <w:t>IFI</w:t>
      </w:r>
      <w:r w:rsidR="006F72D0" w:rsidRPr="00BB3D77">
        <w:t xml:space="preserve">-driven </w:t>
      </w:r>
      <w:r w:rsidR="003A26C8" w:rsidRPr="00BB3D77">
        <w:t>investments had a direct GDP impact of almost $15 million on Indigenous led recreational services including outfitters, hunting and fishing guides, sports facilities and teams, tour operators, and camps.</w:t>
      </w:r>
      <w:r w:rsidRPr="00BB3D77">
        <w:t xml:space="preserve">  </w:t>
      </w:r>
    </w:p>
    <w:p w14:paraId="6E022F5B" w14:textId="6F92C509" w:rsidR="0040359D" w:rsidRPr="00BB3D77" w:rsidRDefault="004F3E10" w:rsidP="00860BFF">
      <w:pPr>
        <w:pStyle w:val="Body"/>
      </w:pPr>
      <w:r w:rsidRPr="00BB3D77">
        <w:t>Numerous</w:t>
      </w:r>
      <w:r w:rsidR="00B53A88" w:rsidRPr="00BB3D77">
        <w:t xml:space="preserve"> First Nation, Inuit, and Métis </w:t>
      </w:r>
      <w:r w:rsidR="00860BFF" w:rsidRPr="00BB3D77">
        <w:t xml:space="preserve">conceptions of mental health and wellbeing </w:t>
      </w:r>
      <w:r w:rsidR="006D4EC4" w:rsidRPr="00BB3D77">
        <w:t>emphasize the</w:t>
      </w:r>
      <w:r w:rsidR="00B53A88" w:rsidRPr="00BB3D77">
        <w:t xml:space="preserve"> </w:t>
      </w:r>
      <w:r w:rsidR="006D4EC4" w:rsidRPr="00BB3D77">
        <w:t xml:space="preserve">healing </w:t>
      </w:r>
      <w:r w:rsidR="00220120" w:rsidRPr="00BB3D77">
        <w:t xml:space="preserve">benefits of </w:t>
      </w:r>
      <w:r w:rsidR="00B53A88" w:rsidRPr="00BB3D77">
        <w:t>place</w:t>
      </w:r>
      <w:r w:rsidR="00220120" w:rsidRPr="00BB3D77">
        <w:t xml:space="preserve"> </w:t>
      </w:r>
      <w:r w:rsidR="00B53A88" w:rsidRPr="00BB3D77">
        <w:t>and cultur</w:t>
      </w:r>
      <w:r w:rsidR="00220120" w:rsidRPr="00BB3D77">
        <w:t>e</w:t>
      </w:r>
      <w:r w:rsidR="00B53A88" w:rsidRPr="00BB3D77">
        <w:t>.</w:t>
      </w:r>
      <w:r w:rsidR="00B53A88" w:rsidRPr="00BB3D77">
        <w:rPr>
          <w:rStyle w:val="FootnoteReference"/>
        </w:rPr>
        <w:footnoteReference w:id="71"/>
      </w:r>
      <w:r w:rsidR="00B53A88" w:rsidRPr="00BB3D77">
        <w:t xml:space="preserve"> </w:t>
      </w:r>
      <w:r w:rsidR="008A7369" w:rsidRPr="00BB3D77">
        <w:t xml:space="preserve">Employment opportunities that encourage </w:t>
      </w:r>
      <w:r w:rsidR="008A7369" w:rsidRPr="00BB3D77">
        <w:lastRenderedPageBreak/>
        <w:t>Indigenous peoples to take pride in their heritage</w:t>
      </w:r>
      <w:r w:rsidR="00401D01" w:rsidRPr="00BB3D77">
        <w:t>,</w:t>
      </w:r>
      <w:r w:rsidR="008A7369" w:rsidRPr="00BB3D77">
        <w:t xml:space="preserve"> and share it with others, help to strengthen Indigenous identities</w:t>
      </w:r>
      <w:r w:rsidR="00220120" w:rsidRPr="00BB3D77">
        <w:t xml:space="preserve"> and wellbeing</w:t>
      </w:r>
      <w:r w:rsidR="008A7369" w:rsidRPr="00BB3D77">
        <w:t>.</w:t>
      </w:r>
      <w:r w:rsidR="002C6F17" w:rsidRPr="00BB3D77">
        <w:t xml:space="preserve"> This is especially the case in Canada’s </w:t>
      </w:r>
      <w:r w:rsidR="00756D2C" w:rsidRPr="00BB3D77">
        <w:t xml:space="preserve">vibrant </w:t>
      </w:r>
      <w:r w:rsidR="002C6F17" w:rsidRPr="00BB3D77">
        <w:t>Indigenous tourism sector.</w:t>
      </w:r>
      <w:r w:rsidR="008A7369" w:rsidRPr="00BB3D77">
        <w:t xml:space="preserve"> </w:t>
      </w:r>
    </w:p>
    <w:p w14:paraId="04BDF0F5" w14:textId="4B0651E5" w:rsidR="002F1095" w:rsidRPr="00BB3D77" w:rsidRDefault="0040359D" w:rsidP="00860BFF">
      <w:pPr>
        <w:pStyle w:val="Body"/>
      </w:pPr>
      <w:r w:rsidRPr="00BB3D77">
        <w:t xml:space="preserve">Diverse businesses occupy the Indigenous tourism sector including co-operatives and community-owned ventures, incorporated businesses, and a range of sole proprietors, from independent artists to wilderness guides. The variety of participants also includes not-for-profit organizations such as </w:t>
      </w:r>
      <w:r w:rsidR="009575C5" w:rsidRPr="00BB3D77">
        <w:t xml:space="preserve">Indigenous-owned </w:t>
      </w:r>
      <w:r w:rsidRPr="00BB3D77">
        <w:t xml:space="preserve">museums, cultural festivals, theatre groups, and natural heritage sites. </w:t>
      </w:r>
    </w:p>
    <w:p w14:paraId="45AAAAC3" w14:textId="3F21044D" w:rsidR="00E108BE" w:rsidRPr="00BB3D77" w:rsidRDefault="002F1095" w:rsidP="00860BFF">
      <w:pPr>
        <w:pStyle w:val="Body"/>
      </w:pPr>
      <w:r w:rsidRPr="00BB3D77">
        <w:t>In 2021, T</w:t>
      </w:r>
      <w:r w:rsidR="0040359D" w:rsidRPr="00BB3D77">
        <w:t xml:space="preserve">he Conference Board’s research for the Indigenous Tourism Association of Canada </w:t>
      </w:r>
      <w:r w:rsidR="00F459D9" w:rsidRPr="00BB3D77">
        <w:t xml:space="preserve">(ITAC) </w:t>
      </w:r>
      <w:r w:rsidR="00DB458B" w:rsidRPr="00BB3D77">
        <w:t>confir</w:t>
      </w:r>
      <w:r w:rsidRPr="00BB3D77">
        <w:t>med</w:t>
      </w:r>
      <w:r w:rsidR="00DB458B" w:rsidRPr="00BB3D77">
        <w:t xml:space="preserve"> that this vital economic sector</w:t>
      </w:r>
      <w:r w:rsidR="00D06620" w:rsidRPr="00BB3D77">
        <w:t>,</w:t>
      </w:r>
      <w:r w:rsidR="00DB458B" w:rsidRPr="00BB3D77">
        <w:t xml:space="preserve"> and source of </w:t>
      </w:r>
      <w:r w:rsidR="00637790" w:rsidRPr="00BB3D77">
        <w:t xml:space="preserve">authentic </w:t>
      </w:r>
      <w:r w:rsidR="00DB458B" w:rsidRPr="00BB3D77">
        <w:t xml:space="preserve">Indigenous cultural </w:t>
      </w:r>
      <w:r w:rsidR="00637790" w:rsidRPr="00BB3D77">
        <w:t>experiences</w:t>
      </w:r>
      <w:r w:rsidR="00D06620" w:rsidRPr="00BB3D77">
        <w:t>,</w:t>
      </w:r>
      <w:r w:rsidR="00DB458B" w:rsidRPr="00BB3D77">
        <w:t xml:space="preserve"> </w:t>
      </w:r>
      <w:r w:rsidR="00D06620" w:rsidRPr="00BB3D77">
        <w:t>was</w:t>
      </w:r>
      <w:r w:rsidR="00DB458B" w:rsidRPr="00BB3D77">
        <w:t xml:space="preserve"> severely </w:t>
      </w:r>
      <w:r w:rsidR="00637790" w:rsidRPr="00BB3D77">
        <w:t>impacted</w:t>
      </w:r>
      <w:r w:rsidR="00DB458B" w:rsidRPr="00BB3D77">
        <w:t xml:space="preserve"> by COVID-19</w:t>
      </w:r>
      <w:r w:rsidR="0040359D" w:rsidRPr="00BB3D77">
        <w:t>.</w:t>
      </w:r>
      <w:r w:rsidR="00DB458B" w:rsidRPr="00BB3D77">
        <w:t xml:space="preserve"> </w:t>
      </w:r>
      <w:r w:rsidR="00D576A4" w:rsidRPr="00BB3D77">
        <w:t>For their part,</w:t>
      </w:r>
      <w:r w:rsidR="00A613EB" w:rsidRPr="00BB3D77">
        <w:t xml:space="preserve"> </w:t>
      </w:r>
      <w:r w:rsidR="006E748D">
        <w:t>IFI</w:t>
      </w:r>
      <w:r w:rsidR="007C2374" w:rsidRPr="00BB3D77">
        <w:t>s</w:t>
      </w:r>
      <w:r w:rsidR="00DB458B" w:rsidRPr="00BB3D77">
        <w:t xml:space="preserve"> across Canada have been instrumental in helping these important businesses survive</w:t>
      </w:r>
      <w:r w:rsidR="00EC3E28" w:rsidRPr="00BB3D77">
        <w:t xml:space="preserve"> and recover</w:t>
      </w:r>
      <w:r w:rsidR="00DB458B" w:rsidRPr="00BB3D77">
        <w:t xml:space="preserve">. </w:t>
      </w:r>
    </w:p>
    <w:p w14:paraId="45B35DBC" w14:textId="7FC50AC8" w:rsidR="00AC120C" w:rsidRPr="00BB3D77" w:rsidRDefault="00A32D7D" w:rsidP="00860BFF">
      <w:pPr>
        <w:pStyle w:val="Body"/>
      </w:pPr>
      <w:r w:rsidRPr="00BB3D77">
        <w:t>Throughout</w:t>
      </w:r>
      <w:r w:rsidR="00AC120C" w:rsidRPr="00BB3D77">
        <w:t xml:space="preserve"> the pandemic</w:t>
      </w:r>
      <w:r w:rsidR="00E108BE" w:rsidRPr="00BB3D77">
        <w:t>,</w:t>
      </w:r>
      <w:r w:rsidR="00EC3E28" w:rsidRPr="00BB3D77">
        <w:t xml:space="preserve"> </w:t>
      </w:r>
      <w:r w:rsidR="006E748D">
        <w:t>IFI</w:t>
      </w:r>
      <w:r w:rsidR="007C2374" w:rsidRPr="00BB3D77">
        <w:t>s</w:t>
      </w:r>
      <w:r w:rsidR="00E108BE" w:rsidRPr="00BB3D77">
        <w:t xml:space="preserve"> worked with the federal government </w:t>
      </w:r>
      <w:r w:rsidR="00EC3E28" w:rsidRPr="00BB3D77">
        <w:t>to deliver</w:t>
      </w:r>
      <w:r w:rsidR="00AC120C" w:rsidRPr="00BB3D77">
        <w:t xml:space="preserve"> $306.8 million dollars in federal stimulus</w:t>
      </w:r>
      <w:r w:rsidR="006224F8" w:rsidRPr="00BB3D77">
        <w:t>,</w:t>
      </w:r>
      <w:r w:rsidR="00AC120C" w:rsidRPr="00BB3D77">
        <w:t xml:space="preserve"> offered in loans</w:t>
      </w:r>
      <w:r w:rsidR="00E108BE" w:rsidRPr="00BB3D77">
        <w:t>,</w:t>
      </w:r>
      <w:r w:rsidR="00AC120C" w:rsidRPr="00BB3D77">
        <w:t xml:space="preserve"> to support </w:t>
      </w:r>
      <w:r w:rsidR="00622CF7" w:rsidRPr="00BB3D77">
        <w:t>small and medium</w:t>
      </w:r>
      <w:r w:rsidR="00AC120C" w:rsidRPr="00BB3D77">
        <w:t xml:space="preserve"> Indigenous </w:t>
      </w:r>
      <w:r w:rsidR="00622CF7" w:rsidRPr="00BB3D77">
        <w:t>enterprises</w:t>
      </w:r>
      <w:r w:rsidR="00767A74" w:rsidRPr="00BB3D77">
        <w:t xml:space="preserve"> (approximately 6,000 in total)</w:t>
      </w:r>
      <w:r w:rsidR="00AC120C" w:rsidRPr="00BB3D77">
        <w:t xml:space="preserve">. Of these, </w:t>
      </w:r>
      <w:r w:rsidR="00885C73" w:rsidRPr="00BB3D77">
        <w:t xml:space="preserve">ITAC estimates that </w:t>
      </w:r>
      <w:r w:rsidR="00AC120C" w:rsidRPr="00BB3D77">
        <w:t>more than 30</w:t>
      </w:r>
      <w:r w:rsidR="00885C73" w:rsidRPr="00BB3D77">
        <w:t xml:space="preserve"> per cent</w:t>
      </w:r>
      <w:r w:rsidR="00AC120C" w:rsidRPr="00BB3D77">
        <w:t>, or 1</w:t>
      </w:r>
      <w:r w:rsidR="00622CF7" w:rsidRPr="00BB3D77">
        <w:t>,</w:t>
      </w:r>
      <w:r w:rsidR="00AC120C" w:rsidRPr="00BB3D77">
        <w:t xml:space="preserve">875, </w:t>
      </w:r>
      <w:r w:rsidR="00622CF7" w:rsidRPr="00BB3D77">
        <w:t>we</w:t>
      </w:r>
      <w:r w:rsidR="00AC120C" w:rsidRPr="00BB3D77">
        <w:t>re Indigenous tourism businesses.</w:t>
      </w:r>
      <w:r w:rsidR="00AC120C" w:rsidRPr="00BB3D77">
        <w:rPr>
          <w:rStyle w:val="FootnoteReference"/>
        </w:rPr>
        <w:footnoteReference w:id="72"/>
      </w:r>
    </w:p>
    <w:p w14:paraId="3A681A0A" w14:textId="413F5943" w:rsidR="00CB4578" w:rsidRPr="00BB3D77" w:rsidRDefault="00CB4578" w:rsidP="00CB4578">
      <w:pPr>
        <w:pStyle w:val="Heading6"/>
      </w:pPr>
      <w:bookmarkStart w:id="64" w:name="_Toc136865112"/>
      <w:r w:rsidRPr="00BB3D77">
        <w:t>Ay Lelum</w:t>
      </w:r>
      <w:bookmarkEnd w:id="64"/>
    </w:p>
    <w:p w14:paraId="359FCC4E" w14:textId="7380B921" w:rsidR="00C23E35" w:rsidRPr="00BB3D77" w:rsidRDefault="00C23E35" w:rsidP="00B34416">
      <w:pPr>
        <w:pStyle w:val="Body"/>
      </w:pPr>
      <w:r w:rsidRPr="00BB3D77">
        <w:t xml:space="preserve">A range of designers and artisans have benefited from the support of </w:t>
      </w:r>
      <w:r w:rsidR="006E748D">
        <w:t>IFI</w:t>
      </w:r>
      <w:r w:rsidR="007C2374" w:rsidRPr="00BB3D77">
        <w:t>s</w:t>
      </w:r>
      <w:r w:rsidRPr="00BB3D77">
        <w:t>.</w:t>
      </w:r>
      <w:r w:rsidR="000A5F6F" w:rsidRPr="00BB3D77">
        <w:t xml:space="preserve"> From 2016 to 2021 </w:t>
      </w:r>
      <w:r w:rsidR="006E748D">
        <w:t>IFI</w:t>
      </w:r>
      <w:r w:rsidR="00EA571F" w:rsidRPr="00BB3D77">
        <w:t>-driven</w:t>
      </w:r>
      <w:r w:rsidR="000A5F6F" w:rsidRPr="00BB3D77">
        <w:t xml:space="preserve"> investments had a direct </w:t>
      </w:r>
      <w:r w:rsidR="000C0AE2" w:rsidRPr="00BB3D77">
        <w:t xml:space="preserve">GDP </w:t>
      </w:r>
      <w:r w:rsidR="000A5F6F" w:rsidRPr="00BB3D77">
        <w:t xml:space="preserve">impact of almost $5 million on Indigenous owned clothing designers, manufacturers, and </w:t>
      </w:r>
      <w:r w:rsidR="000C0AE2" w:rsidRPr="00BB3D77">
        <w:t>boutiques</w:t>
      </w:r>
      <w:r w:rsidR="000A5F6F" w:rsidRPr="00BB3D77">
        <w:t xml:space="preserve">.   </w:t>
      </w:r>
    </w:p>
    <w:p w14:paraId="05CA76E2" w14:textId="177A2CB9" w:rsidR="00434652" w:rsidRPr="00BB3D77" w:rsidRDefault="00CB4578" w:rsidP="00B34416">
      <w:pPr>
        <w:pStyle w:val="Body"/>
      </w:pPr>
      <w:r w:rsidRPr="00BB3D77">
        <w:t xml:space="preserve">Ay Lelum </w:t>
      </w:r>
      <w:r w:rsidR="00434652" w:rsidRPr="00BB3D77">
        <w:t>is a family-owned business and fashion house based in</w:t>
      </w:r>
      <w:r w:rsidRPr="00BB3D77">
        <w:t xml:space="preserve"> Snuneymuxw First Nation in Nanaimo, British Columbia. </w:t>
      </w:r>
      <w:r w:rsidR="00434652" w:rsidRPr="00BB3D77">
        <w:t>Drawing inspiration from multiple generations of artists</w:t>
      </w:r>
      <w:r w:rsidR="007F0DF6" w:rsidRPr="00BB3D77">
        <w:t>,</w:t>
      </w:r>
      <w:r w:rsidR="00434652" w:rsidRPr="00BB3D77">
        <w:t xml:space="preserve"> the owners and head designers</w:t>
      </w:r>
      <w:r w:rsidR="00B34416" w:rsidRPr="00BB3D77">
        <w:t xml:space="preserve"> </w:t>
      </w:r>
      <w:r w:rsidR="00434652" w:rsidRPr="00BB3D77">
        <w:t xml:space="preserve">use their work to showcase their </w:t>
      </w:r>
      <w:r w:rsidR="005F2E9C" w:rsidRPr="00BB3D77">
        <w:t>family’s Coast Salish</w:t>
      </w:r>
      <w:r w:rsidR="00B34416" w:rsidRPr="00BB3D77">
        <w:t xml:space="preserve"> artwork, music</w:t>
      </w:r>
      <w:r w:rsidR="00B0502D" w:rsidRPr="00BB3D77">
        <w:t>,</w:t>
      </w:r>
      <w:r w:rsidR="00B34416" w:rsidRPr="00BB3D77">
        <w:t xml:space="preserve"> and histor</w:t>
      </w:r>
      <w:r w:rsidR="00434652" w:rsidRPr="00BB3D77">
        <w:t>y</w:t>
      </w:r>
      <w:r w:rsidR="005F2E9C" w:rsidRPr="00BB3D77">
        <w:t>.</w:t>
      </w:r>
      <w:r w:rsidR="00434652" w:rsidRPr="00BB3D77">
        <w:t xml:space="preserve"> </w:t>
      </w:r>
      <w:r w:rsidR="005F2E9C" w:rsidRPr="00BB3D77">
        <w:t xml:space="preserve">Their approach is </w:t>
      </w:r>
      <w:r w:rsidR="007F0DF6" w:rsidRPr="00BB3D77">
        <w:t>firmly rooted</w:t>
      </w:r>
      <w:r w:rsidR="005F2E9C" w:rsidRPr="00BB3D77">
        <w:t xml:space="preserve"> in Coast Salish cultural traditions and seeks to</w:t>
      </w:r>
      <w:r w:rsidR="00B34416" w:rsidRPr="00BB3D77">
        <w:t xml:space="preserve"> </w:t>
      </w:r>
      <w:r w:rsidR="007F0DF6" w:rsidRPr="00BB3D77">
        <w:t>follow</w:t>
      </w:r>
      <w:r w:rsidR="00B34416" w:rsidRPr="00BB3D77">
        <w:t xml:space="preserve"> strict cultural protocols and </w:t>
      </w:r>
      <w:r w:rsidR="00434652" w:rsidRPr="00BB3D77">
        <w:t>laws</w:t>
      </w:r>
      <w:r w:rsidR="00B34416" w:rsidRPr="00BB3D77">
        <w:t xml:space="preserve">. </w:t>
      </w:r>
    </w:p>
    <w:p w14:paraId="530B7CAA" w14:textId="4512805C" w:rsidR="00703246" w:rsidRPr="00BB3D77" w:rsidRDefault="00434652" w:rsidP="0054616D">
      <w:pPr>
        <w:pStyle w:val="Body"/>
      </w:pPr>
      <w:r w:rsidRPr="00BB3D77">
        <w:t>Representing</w:t>
      </w:r>
      <w:r w:rsidR="00B34416" w:rsidRPr="00BB3D77">
        <w:t xml:space="preserve"> </w:t>
      </w:r>
      <w:r w:rsidR="00703246" w:rsidRPr="00BB3D77">
        <w:t>a new</w:t>
      </w:r>
      <w:r w:rsidR="00B34416" w:rsidRPr="00BB3D77">
        <w:t xml:space="preserve"> generation of Coast Salish designers</w:t>
      </w:r>
      <w:r w:rsidRPr="00BB3D77">
        <w:t>,</w:t>
      </w:r>
      <w:r w:rsidR="00B34416" w:rsidRPr="00BB3D77">
        <w:t xml:space="preserve"> </w:t>
      </w:r>
      <w:r w:rsidR="00703246" w:rsidRPr="00BB3D77">
        <w:t xml:space="preserve">and </w:t>
      </w:r>
      <w:r w:rsidR="00B34416" w:rsidRPr="00BB3D77">
        <w:t xml:space="preserve">working under the guidance of </w:t>
      </w:r>
      <w:r w:rsidR="00703246" w:rsidRPr="00BB3D77">
        <w:t>their</w:t>
      </w:r>
      <w:r w:rsidR="00B34416" w:rsidRPr="00BB3D77">
        <w:t xml:space="preserve"> Elders, </w:t>
      </w:r>
      <w:r w:rsidR="00703246" w:rsidRPr="00BB3D77">
        <w:t xml:space="preserve">Ay Lelum’s design house integrates </w:t>
      </w:r>
      <w:r w:rsidR="00B34416" w:rsidRPr="00BB3D77">
        <w:t>Coast Salish art, culture, language, textiles</w:t>
      </w:r>
      <w:r w:rsidR="00B0502D" w:rsidRPr="00BB3D77">
        <w:t>,</w:t>
      </w:r>
      <w:r w:rsidR="00B34416" w:rsidRPr="00BB3D77">
        <w:t xml:space="preserve"> </w:t>
      </w:r>
      <w:r w:rsidR="00B34416" w:rsidRPr="00BB3D77">
        <w:lastRenderedPageBreak/>
        <w:t xml:space="preserve">and music. </w:t>
      </w:r>
      <w:r w:rsidR="00703246" w:rsidRPr="00BB3D77">
        <w:t>Yet, while t</w:t>
      </w:r>
      <w:r w:rsidR="0054616D" w:rsidRPr="00BB3D77">
        <w:t xml:space="preserve">he </w:t>
      </w:r>
      <w:r w:rsidR="00703246" w:rsidRPr="00BB3D77">
        <w:t xml:space="preserve">business’s approach has received </w:t>
      </w:r>
      <w:r w:rsidR="0054616D" w:rsidRPr="00BB3D77">
        <w:t xml:space="preserve">international </w:t>
      </w:r>
      <w:r w:rsidR="00703246" w:rsidRPr="00BB3D77">
        <w:t>recognition,</w:t>
      </w:r>
      <w:r w:rsidR="0054616D" w:rsidRPr="00BB3D77">
        <w:t xml:space="preserve"> </w:t>
      </w:r>
      <w:r w:rsidR="00703246" w:rsidRPr="00BB3D77">
        <w:t xml:space="preserve">it </w:t>
      </w:r>
      <w:r w:rsidR="000F0E72" w:rsidRPr="00BB3D77">
        <w:t>also</w:t>
      </w:r>
      <w:r w:rsidR="0054616D" w:rsidRPr="00BB3D77">
        <w:t xml:space="preserve"> struggled to </w:t>
      </w:r>
      <w:r w:rsidR="009109F7" w:rsidRPr="00BB3D77">
        <w:t xml:space="preserve">access </w:t>
      </w:r>
      <w:r w:rsidR="00703246" w:rsidRPr="00BB3D77">
        <w:t xml:space="preserve">necessary </w:t>
      </w:r>
      <w:r w:rsidR="009109F7" w:rsidRPr="00BB3D77">
        <w:t xml:space="preserve">loans to </w:t>
      </w:r>
      <w:r w:rsidR="00703246" w:rsidRPr="00BB3D77">
        <w:t xml:space="preserve">support its vision and growth. </w:t>
      </w:r>
    </w:p>
    <w:p w14:paraId="534A487C" w14:textId="5AACAEA7" w:rsidR="0054616D" w:rsidRPr="00BB3D77" w:rsidRDefault="009109F7" w:rsidP="0054616D">
      <w:pPr>
        <w:pStyle w:val="Body"/>
      </w:pPr>
      <w:r w:rsidRPr="00BB3D77">
        <w:t xml:space="preserve">With </w:t>
      </w:r>
      <w:r w:rsidR="00703246" w:rsidRPr="00BB3D77">
        <w:t>Ay Lelum’s</w:t>
      </w:r>
      <w:r w:rsidRPr="00BB3D77">
        <w:t xml:space="preserve"> potential collateral </w:t>
      </w:r>
      <w:r w:rsidR="00703246" w:rsidRPr="00BB3D77">
        <w:t>being mostly on-</w:t>
      </w:r>
      <w:r w:rsidRPr="00BB3D77">
        <w:t xml:space="preserve">reserve, prospective banks refused to consider their business case. While expanding their search, </w:t>
      </w:r>
      <w:r w:rsidR="00703246" w:rsidRPr="00BB3D77">
        <w:t>Ay Lelum’s owners</w:t>
      </w:r>
      <w:r w:rsidRPr="00BB3D77">
        <w:t xml:space="preserve"> discovered their local </w:t>
      </w:r>
      <w:r w:rsidR="006E748D">
        <w:t>IFI</w:t>
      </w:r>
      <w:r w:rsidRPr="00BB3D77">
        <w:t xml:space="preserve">, </w:t>
      </w:r>
      <w:r w:rsidR="00D72468" w:rsidRPr="00BB3D77">
        <w:t>the Nuu-chah-nulth Economic Development Corporation (</w:t>
      </w:r>
      <w:r w:rsidRPr="00BB3D77">
        <w:t>NEDC</w:t>
      </w:r>
      <w:r w:rsidR="00D72468" w:rsidRPr="00BB3D77">
        <w:t>)</w:t>
      </w:r>
      <w:r w:rsidRPr="00BB3D77">
        <w:t xml:space="preserve">. NEDC staff paid the family business a visit </w:t>
      </w:r>
      <w:r w:rsidR="00AD31BC" w:rsidRPr="00BB3D77">
        <w:t xml:space="preserve">on-reserve </w:t>
      </w:r>
      <w:r w:rsidRPr="00BB3D77">
        <w:t xml:space="preserve">and determined the venture </w:t>
      </w:r>
      <w:r w:rsidR="005F2E9C" w:rsidRPr="00BB3D77">
        <w:t>had a bright future.</w:t>
      </w:r>
      <w:r w:rsidRPr="00BB3D77">
        <w:t xml:space="preserve"> </w:t>
      </w:r>
      <w:r w:rsidR="0054616D" w:rsidRPr="00BB3D77">
        <w:t xml:space="preserve">The </w:t>
      </w:r>
      <w:r w:rsidR="005F2E9C" w:rsidRPr="00BB3D77">
        <w:t xml:space="preserve">resulting </w:t>
      </w:r>
      <w:r w:rsidR="0054616D" w:rsidRPr="00BB3D77">
        <w:t>loan,</w:t>
      </w:r>
      <w:r w:rsidR="005F2E9C" w:rsidRPr="00BB3D77">
        <w:t xml:space="preserve"> among the first from </w:t>
      </w:r>
      <w:r w:rsidR="00AD31BC" w:rsidRPr="00BB3D77">
        <w:t>NACCA’s</w:t>
      </w:r>
      <w:r w:rsidR="005F2E9C" w:rsidRPr="00BB3D77">
        <w:t xml:space="preserve"> newly established Indigenous Growth Fund,</w:t>
      </w:r>
      <w:r w:rsidR="0054616D" w:rsidRPr="00BB3D77">
        <w:t xml:space="preserve"> </w:t>
      </w:r>
      <w:r w:rsidR="005F2E9C" w:rsidRPr="00BB3D77">
        <w:t xml:space="preserve">will enable </w:t>
      </w:r>
      <w:r w:rsidR="0054616D" w:rsidRPr="00BB3D77">
        <w:t xml:space="preserve">Ay Lelum to build </w:t>
      </w:r>
      <w:r w:rsidR="005F2E9C" w:rsidRPr="00BB3D77">
        <w:t xml:space="preserve">a </w:t>
      </w:r>
      <w:r w:rsidR="0054616D" w:rsidRPr="00BB3D77">
        <w:t xml:space="preserve">facility </w:t>
      </w:r>
      <w:r w:rsidR="005F2E9C" w:rsidRPr="00BB3D77">
        <w:t>large enough to encompass a design studio, manufacturing process</w:t>
      </w:r>
      <w:r w:rsidR="0054616D" w:rsidRPr="00BB3D77">
        <w:t xml:space="preserve">, </w:t>
      </w:r>
      <w:r w:rsidR="005F2E9C" w:rsidRPr="00BB3D77">
        <w:t xml:space="preserve">and interactive </w:t>
      </w:r>
      <w:r w:rsidR="0054616D" w:rsidRPr="00BB3D77">
        <w:t>workshops</w:t>
      </w:r>
      <w:r w:rsidR="005F2E9C" w:rsidRPr="00BB3D77">
        <w:t xml:space="preserve"> with customers and visitors</w:t>
      </w:r>
      <w:r w:rsidR="0054616D" w:rsidRPr="00BB3D77">
        <w:t>.</w:t>
      </w:r>
    </w:p>
    <w:p w14:paraId="2783FC39" w14:textId="77777777" w:rsidR="00033DDC" w:rsidRPr="00BB3D77" w:rsidRDefault="00033DDC" w:rsidP="00033DDC">
      <w:pPr>
        <w:pStyle w:val="Heading6"/>
      </w:pPr>
      <w:bookmarkStart w:id="65" w:name="_Toc136865113"/>
      <w:r w:rsidRPr="00BB3D77">
        <w:t>Nunavut Sivuniksavut</w:t>
      </w:r>
      <w:bookmarkEnd w:id="65"/>
    </w:p>
    <w:p w14:paraId="28FD6910" w14:textId="181060AF" w:rsidR="00AE12AC" w:rsidRPr="00BB3D77" w:rsidRDefault="00033DDC" w:rsidP="001B1477">
      <w:pPr>
        <w:pStyle w:val="Body"/>
      </w:pPr>
      <w:r w:rsidRPr="00BB3D77">
        <w:t xml:space="preserve">Since 1985, the Nunavut Sivuniksavut (NS) </w:t>
      </w:r>
      <w:r w:rsidR="006B2166" w:rsidRPr="00BB3D77">
        <w:t>p</w:t>
      </w:r>
      <w:r w:rsidRPr="00BB3D77">
        <w:t xml:space="preserve">rogram has been educating and preparing Inuit youth for </w:t>
      </w:r>
      <w:r w:rsidR="000C0AE2" w:rsidRPr="00BB3D77">
        <w:t xml:space="preserve">leadership roles and public service careers </w:t>
      </w:r>
      <w:r w:rsidRPr="00BB3D77">
        <w:t xml:space="preserve">in their home territory of Nunavut. </w:t>
      </w:r>
      <w:r w:rsidR="00756601" w:rsidRPr="00BB3D77">
        <w:t xml:space="preserve">The program currently receives funding from </w:t>
      </w:r>
      <w:r w:rsidR="002448E4" w:rsidRPr="00BB3D77">
        <w:t xml:space="preserve">the </w:t>
      </w:r>
      <w:r w:rsidR="00932492" w:rsidRPr="00BB3D77">
        <w:t>Makigiaqta Inuit Training Corporation</w:t>
      </w:r>
      <w:r w:rsidR="00497B93" w:rsidRPr="00BB3D77">
        <w:t xml:space="preserve"> while an important source of student scholarships has been Nunavut’s leading </w:t>
      </w:r>
      <w:r w:rsidR="006E748D">
        <w:t>IFI</w:t>
      </w:r>
      <w:r w:rsidR="00497B93" w:rsidRPr="00BB3D77">
        <w:t>, the Atuqtuarvik Corporation</w:t>
      </w:r>
      <w:r w:rsidR="00932492" w:rsidRPr="00BB3D77">
        <w:t xml:space="preserve">. </w:t>
      </w:r>
    </w:p>
    <w:p w14:paraId="0E315697" w14:textId="68231B44" w:rsidR="006B2166" w:rsidRPr="00BB3D77" w:rsidRDefault="006B2166" w:rsidP="001B1477">
      <w:pPr>
        <w:pStyle w:val="Body"/>
      </w:pPr>
      <w:r w:rsidRPr="00BB3D77">
        <w:t>NS integrates college-level academic studies with a unique blend of Inuit cultural knowledge and personal development strategies that help youth build their communication skills, self-determination, and leadership capabilities. In their first</w:t>
      </w:r>
      <w:r w:rsidR="00234B1A" w:rsidRPr="00BB3D77">
        <w:t>-</w:t>
      </w:r>
      <w:r w:rsidRPr="00BB3D77">
        <w:t>year students take courses in Inuit History, Land Claims, Inuit-Government Relations, Contemporary Inuit Issues, Inukt</w:t>
      </w:r>
      <w:r w:rsidR="00E722B6" w:rsidRPr="00BB3D77">
        <w:t>it</w:t>
      </w:r>
      <w:r w:rsidRPr="00BB3D77">
        <w:t xml:space="preserve">ut, English, and Cultural Studies. The curriculum focuses on the relationship Inuit have with the rest of Canada, including the historic loss and achievement of Inuit self-determination and autonomy. </w:t>
      </w:r>
    </w:p>
    <w:p w14:paraId="0E8B5C89" w14:textId="339DA299" w:rsidR="00646F4B" w:rsidRPr="00BB3D77" w:rsidRDefault="001B1477" w:rsidP="001B1477">
      <w:pPr>
        <w:pStyle w:val="Body"/>
      </w:pPr>
      <w:r w:rsidRPr="00BB3D77">
        <w:t>In their second</w:t>
      </w:r>
      <w:r w:rsidR="00E722B6" w:rsidRPr="00BB3D77">
        <w:t>-</w:t>
      </w:r>
      <w:r w:rsidRPr="00BB3D77">
        <w:t xml:space="preserve">year students advance to directed studies about </w:t>
      </w:r>
      <w:r w:rsidR="00646F4B" w:rsidRPr="00BB3D77">
        <w:t>circumpolar issues</w:t>
      </w:r>
      <w:r w:rsidRPr="00BB3D77">
        <w:t xml:space="preserve">, </w:t>
      </w:r>
      <w:r w:rsidR="00E5622A" w:rsidRPr="00BB3D77">
        <w:t>research methods, community development, political science</w:t>
      </w:r>
      <w:r w:rsidRPr="00BB3D77">
        <w:t>,</w:t>
      </w:r>
      <w:r w:rsidR="00E5622A" w:rsidRPr="00BB3D77">
        <w:t xml:space="preserve"> northern public administration,</w:t>
      </w:r>
      <w:r w:rsidR="00646F4B" w:rsidRPr="00BB3D77">
        <w:t xml:space="preserve"> and Inuit governance</w:t>
      </w:r>
      <w:r w:rsidRPr="00BB3D77">
        <w:t xml:space="preserve">. </w:t>
      </w:r>
      <w:r w:rsidR="00646F4B" w:rsidRPr="00BB3D77">
        <w:t xml:space="preserve">Ultimately, </w:t>
      </w:r>
      <w:r w:rsidR="00E5622A" w:rsidRPr="00BB3D77">
        <w:t>NS aims</w:t>
      </w:r>
      <w:r w:rsidRPr="00BB3D77">
        <w:t xml:space="preserve"> to</w:t>
      </w:r>
      <w:r w:rsidR="00646F4B" w:rsidRPr="00BB3D77">
        <w:t xml:space="preserve"> </w:t>
      </w:r>
      <w:r w:rsidRPr="00BB3D77">
        <w:t>prepare young Inuit for</w:t>
      </w:r>
      <w:r w:rsidR="00646F4B" w:rsidRPr="00BB3D77">
        <w:t xml:space="preserve"> </w:t>
      </w:r>
      <w:r w:rsidR="00E5622A" w:rsidRPr="00BB3D77">
        <w:t xml:space="preserve">professional and management </w:t>
      </w:r>
      <w:r w:rsidR="00646F4B" w:rsidRPr="00BB3D77">
        <w:t xml:space="preserve">careers in </w:t>
      </w:r>
      <w:r w:rsidR="00E5622A" w:rsidRPr="00BB3D77">
        <w:t>government whether at a territorial, federal, or Indigenous governance level</w:t>
      </w:r>
      <w:r w:rsidR="00646F4B" w:rsidRPr="00BB3D77">
        <w:t>.</w:t>
      </w:r>
      <w:r w:rsidRPr="00BB3D77">
        <w:t xml:space="preserve"> Courses are delivered in partnership with Carleton University and Algonquin College in Ottawa.</w:t>
      </w:r>
    </w:p>
    <w:p w14:paraId="0D6FD3B4" w14:textId="1C77D497" w:rsidR="00033DDC" w:rsidRPr="00BB3D77" w:rsidRDefault="000C0AE2" w:rsidP="00033DDC">
      <w:pPr>
        <w:pStyle w:val="Body"/>
      </w:pPr>
      <w:r w:rsidRPr="00BB3D77">
        <w:t>When NS</w:t>
      </w:r>
      <w:r w:rsidR="00033DDC" w:rsidRPr="00BB3D77">
        <w:t xml:space="preserve"> </w:t>
      </w:r>
      <w:r w:rsidRPr="00BB3D77">
        <w:t>needed a</w:t>
      </w:r>
      <w:r w:rsidR="00033DDC" w:rsidRPr="00BB3D77">
        <w:t xml:space="preserve"> new </w:t>
      </w:r>
      <w:r w:rsidRPr="00BB3D77">
        <w:t>Ottawa facility</w:t>
      </w:r>
      <w:r w:rsidR="00033DDC" w:rsidRPr="00BB3D77">
        <w:t xml:space="preserve"> to </w:t>
      </w:r>
      <w:r w:rsidRPr="00BB3D77">
        <w:t xml:space="preserve">house its expanding range of program offerings, its directors turned to </w:t>
      </w:r>
      <w:r w:rsidR="00033DDC" w:rsidRPr="00BB3D77">
        <w:t>Atuqtuarvik Corporation</w:t>
      </w:r>
      <w:r w:rsidR="00E5622A" w:rsidRPr="00BB3D77">
        <w:t xml:space="preserve"> for support and advice</w:t>
      </w:r>
      <w:r w:rsidR="00646F4B" w:rsidRPr="00BB3D77">
        <w:t>. Atuqtuarvik</w:t>
      </w:r>
      <w:r w:rsidR="00E5622A" w:rsidRPr="00BB3D77">
        <w:t xml:space="preserve">, which </w:t>
      </w:r>
      <w:r w:rsidR="00884AF8" w:rsidRPr="00BB3D77">
        <w:t>incorporated</w:t>
      </w:r>
      <w:r w:rsidR="00E5622A" w:rsidRPr="00BB3D77">
        <w:t xml:space="preserve"> after the Nunavut Land Claims Agreement and resulting Nunavut Trust,</w:t>
      </w:r>
      <w:r w:rsidR="00646F4B" w:rsidRPr="00BB3D77">
        <w:t xml:space="preserve"> provided</w:t>
      </w:r>
      <w:r w:rsidRPr="00BB3D77">
        <w:t xml:space="preserve"> </w:t>
      </w:r>
      <w:r w:rsidRPr="00BB3D77">
        <w:lastRenderedPageBreak/>
        <w:t xml:space="preserve">interim financing </w:t>
      </w:r>
      <w:r w:rsidR="00646F4B" w:rsidRPr="00BB3D77">
        <w:t>that helped NS</w:t>
      </w:r>
      <w:r w:rsidRPr="00BB3D77">
        <w:t xml:space="preserve"> secure </w:t>
      </w:r>
      <w:r w:rsidR="00646F4B" w:rsidRPr="00BB3D77">
        <w:t>the infrastructure</w:t>
      </w:r>
      <w:r w:rsidR="00E5622A" w:rsidRPr="00BB3D77">
        <w:t xml:space="preserve"> it needed</w:t>
      </w:r>
      <w:r w:rsidRPr="00BB3D77">
        <w:t>.</w:t>
      </w:r>
      <w:r w:rsidR="00033DDC" w:rsidRPr="00BB3D77">
        <w:rPr>
          <w:rStyle w:val="FootnoteReference"/>
        </w:rPr>
        <w:footnoteReference w:id="73"/>
      </w:r>
      <w:r w:rsidR="00033DDC" w:rsidRPr="00BB3D77">
        <w:t xml:space="preserve"> Th</w:t>
      </w:r>
      <w:r w:rsidR="00BB0BBE" w:rsidRPr="00BB3D77">
        <w:t xml:space="preserve">is vital leadership program for young Nunavummiut has become a model for Inuit </w:t>
      </w:r>
      <w:r w:rsidR="00A65E20" w:rsidRPr="00BB3D77">
        <w:t xml:space="preserve">and Indigenous communities </w:t>
      </w:r>
      <w:r w:rsidR="00C06E86" w:rsidRPr="00BB3D77">
        <w:t xml:space="preserve">across the circumpolar </w:t>
      </w:r>
      <w:r w:rsidR="00A65E20" w:rsidRPr="00BB3D77">
        <w:t>North</w:t>
      </w:r>
      <w:r w:rsidR="00033DDC" w:rsidRPr="00BB3D77">
        <w:t>.</w:t>
      </w:r>
    </w:p>
    <w:p w14:paraId="43A1537A" w14:textId="29FAB0FD" w:rsidR="00842E42" w:rsidRPr="00BB3D77" w:rsidRDefault="008F77D7" w:rsidP="00AF4587">
      <w:pPr>
        <w:pStyle w:val="Heading6"/>
      </w:pPr>
      <w:bookmarkStart w:id="66" w:name="_Toc136865114"/>
      <w:r w:rsidRPr="00BB3D77">
        <w:t xml:space="preserve">Ulnooweg’s </w:t>
      </w:r>
      <w:r w:rsidR="005B62AB" w:rsidRPr="005B62AB">
        <w:t>Asitu'lisk</w:t>
      </w:r>
      <w:bookmarkEnd w:id="66"/>
    </w:p>
    <w:p w14:paraId="402BF41F" w14:textId="5DFEFC28" w:rsidR="0052697F" w:rsidRPr="00BB3D77" w:rsidRDefault="00C02BC2" w:rsidP="00C02BC2">
      <w:pPr>
        <w:pStyle w:val="Body"/>
      </w:pPr>
      <w:r w:rsidRPr="00BB3D77">
        <w:t xml:space="preserve">Ulnooweg, the Atlantic region’s serving </w:t>
      </w:r>
      <w:r w:rsidR="006E748D">
        <w:t>IFI</w:t>
      </w:r>
      <w:r w:rsidRPr="00BB3D77">
        <w:t>, maintains a registered charitable organization called the Ulnooweg Education Centre (UEC). The centre’s goal is to empower Indigenous communities through education</w:t>
      </w:r>
      <w:r w:rsidR="008A7369" w:rsidRPr="00BB3D77">
        <w:t xml:space="preserve"> and immersive cultural experiences</w:t>
      </w:r>
      <w:r w:rsidRPr="00BB3D77">
        <w:t xml:space="preserve">. Its various initiatives include collaborative research and educational programs promoting science, agriculture, </w:t>
      </w:r>
      <w:r w:rsidR="000752DB" w:rsidRPr="00BB3D77">
        <w:t xml:space="preserve">land-based learning, </w:t>
      </w:r>
      <w:r w:rsidRPr="00BB3D77">
        <w:t xml:space="preserve">and financial literacy. </w:t>
      </w:r>
    </w:p>
    <w:p w14:paraId="6B9EE16B" w14:textId="4A936387" w:rsidR="003B51E7" w:rsidRPr="00BB3D77" w:rsidRDefault="00C02BC2" w:rsidP="003B51E7">
      <w:pPr>
        <w:pStyle w:val="Body"/>
      </w:pPr>
      <w:r w:rsidRPr="00BB3D77">
        <w:t>The centre’s holistic approach grounds it</w:t>
      </w:r>
      <w:r w:rsidR="000752DB" w:rsidRPr="00BB3D77">
        <w:t>s activities in</w:t>
      </w:r>
      <w:r w:rsidRPr="00BB3D77">
        <w:t xml:space="preserve"> Indigenous cultur</w:t>
      </w:r>
      <w:r w:rsidR="003B51E7" w:rsidRPr="00BB3D77">
        <w:t>al</w:t>
      </w:r>
      <w:r w:rsidRPr="00BB3D77">
        <w:t xml:space="preserve"> values, language</w:t>
      </w:r>
      <w:r w:rsidR="003B51E7" w:rsidRPr="00BB3D77">
        <w:t>s</w:t>
      </w:r>
      <w:r w:rsidRPr="00BB3D77">
        <w:t>, and perspectives.</w:t>
      </w:r>
      <w:r w:rsidR="000752DB" w:rsidRPr="00BB3D77">
        <w:t xml:space="preserve"> In 2021 the UEC acquired Windhorse Farm</w:t>
      </w:r>
      <w:r w:rsidR="003B51E7" w:rsidRPr="00BB3D77">
        <w:t xml:space="preserve"> through a donation from the farm’s long-time owners</w:t>
      </w:r>
      <w:r w:rsidR="0052697F" w:rsidRPr="00BB3D77">
        <w:t>.</w:t>
      </w:r>
      <w:r w:rsidR="000752DB" w:rsidRPr="00BB3D77">
        <w:t xml:space="preserve"> </w:t>
      </w:r>
      <w:r w:rsidR="005B62AB">
        <w:t xml:space="preserve">Renamed </w:t>
      </w:r>
      <w:bookmarkStart w:id="67" w:name="_Hlk136427383"/>
      <w:r w:rsidR="005B62AB" w:rsidRPr="005B62AB">
        <w:t>Asitu'lisk</w:t>
      </w:r>
      <w:bookmarkEnd w:id="67"/>
      <w:r w:rsidR="005B62AB">
        <w:t xml:space="preserve"> in 2022, </w:t>
      </w:r>
      <w:r w:rsidR="005B62AB" w:rsidRPr="005B62AB">
        <w:t xml:space="preserve">a </w:t>
      </w:r>
      <w:r w:rsidR="005B62AB">
        <w:t xml:space="preserve">Mi’kmaq </w:t>
      </w:r>
      <w:r w:rsidR="005B62AB" w:rsidRPr="005B62AB">
        <w:t xml:space="preserve">verb which means </w:t>
      </w:r>
      <w:r w:rsidR="005B62AB">
        <w:t>“</w:t>
      </w:r>
      <w:r w:rsidR="005B62AB" w:rsidRPr="005B62AB">
        <w:t>that which gives you balance</w:t>
      </w:r>
      <w:r w:rsidR="005B62AB">
        <w:t>”</w:t>
      </w:r>
      <w:r w:rsidR="005B62AB">
        <w:rPr>
          <w:rStyle w:val="FootnoteReference"/>
        </w:rPr>
        <w:footnoteReference w:id="74"/>
      </w:r>
      <w:r w:rsidR="005B62AB">
        <w:t>, t</w:t>
      </w:r>
      <w:r w:rsidR="000752DB" w:rsidRPr="00BB3D77">
        <w:t xml:space="preserve">he </w:t>
      </w:r>
      <w:r w:rsidR="005B62AB">
        <w:t>land</w:t>
      </w:r>
      <w:r w:rsidR="000752DB" w:rsidRPr="00BB3D77">
        <w:t xml:space="preserve"> consists of </w:t>
      </w:r>
      <w:r w:rsidR="0052697F" w:rsidRPr="00BB3D77">
        <w:t xml:space="preserve">numerous </w:t>
      </w:r>
      <w:r w:rsidR="000752DB" w:rsidRPr="00BB3D77">
        <w:t>permaculture gardens, a conference lodge, a century old farmhouse</w:t>
      </w:r>
      <w:r w:rsidR="0052697F" w:rsidRPr="00BB3D77">
        <w:t xml:space="preserve"> and</w:t>
      </w:r>
      <w:r w:rsidR="000752DB" w:rsidRPr="00BB3D77">
        <w:t xml:space="preserve"> barn, off-grid forest cabins, </w:t>
      </w:r>
      <w:r w:rsidR="0052697F" w:rsidRPr="00BB3D77">
        <w:t>and a</w:t>
      </w:r>
      <w:r w:rsidR="000752DB" w:rsidRPr="00BB3D77">
        <w:t xml:space="preserve"> woodshop</w:t>
      </w:r>
      <w:r w:rsidR="003F26E0" w:rsidRPr="00BB3D77">
        <w:t>,</w:t>
      </w:r>
      <w:r w:rsidR="0052697F" w:rsidRPr="00BB3D77">
        <w:t xml:space="preserve"> all surrounded by</w:t>
      </w:r>
      <w:r w:rsidR="000752DB" w:rsidRPr="00BB3D77">
        <w:t xml:space="preserve"> kilometres of </w:t>
      </w:r>
      <w:r w:rsidR="005B62AB">
        <w:t xml:space="preserve">forested </w:t>
      </w:r>
      <w:r w:rsidR="000752DB" w:rsidRPr="00BB3D77">
        <w:t>walking trails</w:t>
      </w:r>
      <w:r w:rsidR="0052697F" w:rsidRPr="00BB3D77">
        <w:t xml:space="preserve"> and a lake</w:t>
      </w:r>
      <w:r w:rsidR="000752DB" w:rsidRPr="00BB3D77">
        <w:t xml:space="preserve">. </w:t>
      </w:r>
      <w:r w:rsidR="003B51E7" w:rsidRPr="00BB3D77">
        <w:t>The UEC</w:t>
      </w:r>
      <w:r w:rsidR="0052697F" w:rsidRPr="00BB3D77">
        <w:t xml:space="preserve"> and its partners</w:t>
      </w:r>
      <w:r w:rsidR="003B51E7" w:rsidRPr="00BB3D77">
        <w:t xml:space="preserve"> en</w:t>
      </w:r>
      <w:r w:rsidR="0052697F" w:rsidRPr="00BB3D77">
        <w:t xml:space="preserve">vision </w:t>
      </w:r>
      <w:r w:rsidR="003B51E7" w:rsidRPr="00BB3D77">
        <w:t>that</w:t>
      </w:r>
      <w:r w:rsidR="0052697F" w:rsidRPr="00BB3D77">
        <w:t xml:space="preserve"> </w:t>
      </w:r>
      <w:r w:rsidR="005B62AB" w:rsidRPr="005B62AB">
        <w:t>Asitu'lisk</w:t>
      </w:r>
      <w:r w:rsidR="000752DB" w:rsidRPr="00BB3D77">
        <w:t xml:space="preserve"> </w:t>
      </w:r>
      <w:r w:rsidR="003B51E7" w:rsidRPr="00BB3D77">
        <w:t>will become</w:t>
      </w:r>
      <w:r w:rsidR="0052697F" w:rsidRPr="00BB3D77">
        <w:t xml:space="preserve"> </w:t>
      </w:r>
      <w:r w:rsidR="000752DB" w:rsidRPr="00BB3D77">
        <w:t xml:space="preserve">a </w:t>
      </w:r>
      <w:r w:rsidR="003B51E7" w:rsidRPr="00BB3D77">
        <w:t xml:space="preserve">place </w:t>
      </w:r>
      <w:r w:rsidR="0052697F" w:rsidRPr="00BB3D77">
        <w:t>where visitors can connect</w:t>
      </w:r>
      <w:r w:rsidR="003B51E7" w:rsidRPr="00BB3D77">
        <w:t>, heal,</w:t>
      </w:r>
      <w:r w:rsidR="0052697F" w:rsidRPr="00BB3D77">
        <w:t xml:space="preserve"> and </w:t>
      </w:r>
      <w:r w:rsidR="000752DB" w:rsidRPr="00BB3D77">
        <w:t xml:space="preserve">learn about </w:t>
      </w:r>
      <w:r w:rsidR="0052697F" w:rsidRPr="00BB3D77">
        <w:t xml:space="preserve">Indigenous </w:t>
      </w:r>
      <w:r w:rsidR="000752DB" w:rsidRPr="00BB3D77">
        <w:t>culture</w:t>
      </w:r>
      <w:r w:rsidR="0052697F" w:rsidRPr="00BB3D77">
        <w:t>s</w:t>
      </w:r>
      <w:r w:rsidR="003B51E7" w:rsidRPr="00BB3D77">
        <w:t xml:space="preserve"> and the surrounding </w:t>
      </w:r>
      <w:r w:rsidR="000752DB" w:rsidRPr="00BB3D77">
        <w:t xml:space="preserve">ecology. </w:t>
      </w:r>
    </w:p>
    <w:p w14:paraId="3242DF0A" w14:textId="72021A87" w:rsidR="00AB77C7" w:rsidRPr="00BB3D77" w:rsidRDefault="00C111FF" w:rsidP="00C13735">
      <w:pPr>
        <w:pStyle w:val="Heading4"/>
      </w:pPr>
      <w:bookmarkStart w:id="68" w:name="_Toc136865115"/>
      <w:r w:rsidRPr="00BB3D77">
        <w:t>How</w:t>
      </w:r>
      <w:r w:rsidR="00AB77C7" w:rsidRPr="00BB3D77">
        <w:t xml:space="preserve"> </w:t>
      </w:r>
      <w:r w:rsidR="006E748D">
        <w:t>IFI</w:t>
      </w:r>
      <w:r w:rsidR="007C2374" w:rsidRPr="00BB3D77">
        <w:t>s</w:t>
      </w:r>
      <w:r w:rsidR="00570571" w:rsidRPr="00BB3D77">
        <w:t xml:space="preserve"> </w:t>
      </w:r>
      <w:r w:rsidR="00132EA9">
        <w:t>c</w:t>
      </w:r>
      <w:r w:rsidRPr="00BB3D77">
        <w:t>ontribute to</w:t>
      </w:r>
      <w:r w:rsidR="00570571" w:rsidRPr="00BB3D77">
        <w:t xml:space="preserve"> Indigenous </w:t>
      </w:r>
      <w:r w:rsidR="00132EA9">
        <w:t>h</w:t>
      </w:r>
      <w:r w:rsidR="00570571" w:rsidRPr="00BB3D77">
        <w:t xml:space="preserve">ousing </w:t>
      </w:r>
      <w:r w:rsidR="00132EA9">
        <w:t>o</w:t>
      </w:r>
      <w:r w:rsidRPr="00BB3D77">
        <w:t>ptions</w:t>
      </w:r>
      <w:bookmarkEnd w:id="68"/>
    </w:p>
    <w:p w14:paraId="4A734AB7" w14:textId="58557FC4" w:rsidR="00AB77C7" w:rsidRPr="00BB3D77" w:rsidRDefault="006E748D" w:rsidP="00AB77C7">
      <w:pPr>
        <w:pStyle w:val="Body"/>
      </w:pPr>
      <w:r>
        <w:t>IFI</w:t>
      </w:r>
      <w:r w:rsidR="007C2374" w:rsidRPr="00BB3D77">
        <w:t>s</w:t>
      </w:r>
      <w:r w:rsidR="00AB77C7" w:rsidRPr="00BB3D77">
        <w:t xml:space="preserve"> also contribute to housing through the specific industries and businesses they target. </w:t>
      </w:r>
      <w:r w:rsidR="00AF4587" w:rsidRPr="00BB3D77">
        <w:t xml:space="preserve">From 2016 to 2021 </w:t>
      </w:r>
      <w:r>
        <w:t>IFI</w:t>
      </w:r>
      <w:r w:rsidR="005179DA" w:rsidRPr="00BB3D77">
        <w:t xml:space="preserve">-driven </w:t>
      </w:r>
      <w:r w:rsidR="00AF4587" w:rsidRPr="00BB3D77">
        <w:t xml:space="preserve">investments had a direct </w:t>
      </w:r>
      <w:r w:rsidR="00B50694" w:rsidRPr="00BB3D77">
        <w:t xml:space="preserve">GDP </w:t>
      </w:r>
      <w:r w:rsidR="00AF4587" w:rsidRPr="00BB3D77">
        <w:t xml:space="preserve">impact of more than $126 million on </w:t>
      </w:r>
      <w:r w:rsidR="00B50694" w:rsidRPr="00BB3D77">
        <w:t xml:space="preserve">Indigenous led </w:t>
      </w:r>
      <w:r w:rsidR="00AF4587" w:rsidRPr="00BB3D77">
        <w:t xml:space="preserve">residential construction and associated sectors such as traveller accommodation, </w:t>
      </w:r>
      <w:r w:rsidR="000B3818" w:rsidRPr="00BB3D77">
        <w:t xml:space="preserve">real estate leasing, </w:t>
      </w:r>
      <w:r w:rsidR="00AF4587" w:rsidRPr="00BB3D77">
        <w:t>and services to buildings and dwellings.</w:t>
      </w:r>
      <w:r w:rsidR="00184CF1" w:rsidRPr="00BB3D77">
        <w:t xml:space="preserve"> These direct investments in housing construction and associated sectors </w:t>
      </w:r>
      <w:r w:rsidR="00187CA5" w:rsidRPr="00BB3D77">
        <w:t>provide fertile source material for</w:t>
      </w:r>
      <w:r w:rsidR="00B53012" w:rsidRPr="00BB3D77">
        <w:t xml:space="preserve"> investigating how </w:t>
      </w:r>
      <w:r>
        <w:t>IFI</w:t>
      </w:r>
      <w:r w:rsidR="007C2374" w:rsidRPr="00BB3D77">
        <w:t>s</w:t>
      </w:r>
      <w:r w:rsidR="00B53012" w:rsidRPr="00BB3D77">
        <w:t xml:space="preserve"> </w:t>
      </w:r>
      <w:r w:rsidR="001B5CA7" w:rsidRPr="00BB3D77">
        <w:t>work to improve</w:t>
      </w:r>
      <w:r w:rsidR="00671EB6" w:rsidRPr="00BB3D77">
        <w:t xml:space="preserve"> housing </w:t>
      </w:r>
      <w:r w:rsidR="001B5CA7" w:rsidRPr="00BB3D77">
        <w:t xml:space="preserve">supply </w:t>
      </w:r>
      <w:r w:rsidR="00671EB6" w:rsidRPr="00BB3D77">
        <w:t>on</w:t>
      </w:r>
      <w:r w:rsidR="009E64F6" w:rsidRPr="00BB3D77">
        <w:t xml:space="preserve"> </w:t>
      </w:r>
      <w:r w:rsidR="00671EB6" w:rsidRPr="00BB3D77">
        <w:t>reserve and in Inuit Nunangat.</w:t>
      </w:r>
      <w:r w:rsidR="009E64F6" w:rsidRPr="00BB3D77">
        <w:t xml:space="preserve"> In the remainder of this section we focus on two key examples from </w:t>
      </w:r>
      <w:r>
        <w:t>IFI</w:t>
      </w:r>
      <w:r w:rsidR="007C2374" w:rsidRPr="00BB3D77">
        <w:t>s</w:t>
      </w:r>
      <w:r w:rsidR="009E64F6" w:rsidRPr="00BB3D77">
        <w:t xml:space="preserve"> working on</w:t>
      </w:r>
      <w:r w:rsidR="005179DA" w:rsidRPr="00BB3D77">
        <w:t xml:space="preserve"> </w:t>
      </w:r>
      <w:r w:rsidR="009E64F6" w:rsidRPr="00BB3D77">
        <w:t>reserve and among Yukon First Nations.</w:t>
      </w:r>
    </w:p>
    <w:p w14:paraId="48EF016B" w14:textId="77777777" w:rsidR="00362E1F" w:rsidRPr="00BB3D77" w:rsidRDefault="00362E1F" w:rsidP="00362E1F">
      <w:pPr>
        <w:pStyle w:val="Heading5"/>
      </w:pPr>
      <w:bookmarkStart w:id="69" w:name="_Toc136865116"/>
      <w:r w:rsidRPr="00BB3D77">
        <w:lastRenderedPageBreak/>
        <w:t>ABSCAN’s First Nations Housing Program</w:t>
      </w:r>
      <w:bookmarkEnd w:id="69"/>
      <w:r w:rsidRPr="00BB3D77">
        <w:t xml:space="preserve"> </w:t>
      </w:r>
    </w:p>
    <w:p w14:paraId="23CBD318" w14:textId="28308298" w:rsidR="00B50694" w:rsidRPr="00BB3D77" w:rsidRDefault="002C5D0A" w:rsidP="0092267D">
      <w:pPr>
        <w:pStyle w:val="Body"/>
      </w:pPr>
      <w:r w:rsidRPr="00BB3D77">
        <w:t xml:space="preserve">In 2005 SOCCA established the Aboriginal Savings Corporation of Canada (ABSCAN). </w:t>
      </w:r>
      <w:r w:rsidR="00B50694" w:rsidRPr="00BB3D77">
        <w:t xml:space="preserve">ABSCAN </w:t>
      </w:r>
      <w:r w:rsidR="00A77F26" w:rsidRPr="00BB3D77">
        <w:t xml:space="preserve">seeks to </w:t>
      </w:r>
      <w:r w:rsidR="00A63E59" w:rsidRPr="00BB3D77">
        <w:t>strengthen</w:t>
      </w:r>
      <w:r w:rsidRPr="00BB3D77">
        <w:t xml:space="preserve"> the </w:t>
      </w:r>
      <w:r w:rsidR="00A63E59" w:rsidRPr="00BB3D77">
        <w:t>socio-</w:t>
      </w:r>
      <w:r w:rsidRPr="00BB3D77">
        <w:t>economic wellbeing of Indigenous communities by offering them and their members guaranteed loans for housing, and institutional and commercial developments.</w:t>
      </w:r>
      <w:r w:rsidR="00B012F6" w:rsidRPr="00BB3D77">
        <w:t xml:space="preserve"> </w:t>
      </w:r>
      <w:r w:rsidR="00B50694" w:rsidRPr="00BB3D77">
        <w:t>ABSCAN’s</w:t>
      </w:r>
      <w:r w:rsidR="00B012F6" w:rsidRPr="00BB3D77">
        <w:t xml:space="preserve"> First Nations Housing Program </w:t>
      </w:r>
      <w:r w:rsidR="00B50694" w:rsidRPr="00BB3D77">
        <w:t xml:space="preserve">(FNHP) </w:t>
      </w:r>
      <w:r w:rsidR="00B012F6" w:rsidRPr="00BB3D77">
        <w:t>offer</w:t>
      </w:r>
      <w:r w:rsidR="00B50694" w:rsidRPr="00BB3D77">
        <w:t>s</w:t>
      </w:r>
      <w:r w:rsidR="00B012F6" w:rsidRPr="00BB3D77">
        <w:t xml:space="preserve"> on-reserve housing loans to First Nation residents and members wishing to </w:t>
      </w:r>
      <w:r w:rsidR="00A63E59" w:rsidRPr="00BB3D77">
        <w:t>retur</w:t>
      </w:r>
      <w:r w:rsidR="00FD7EDB" w:rsidRPr="00BB3D77">
        <w:t>n to their community</w:t>
      </w:r>
      <w:r w:rsidR="00B012F6" w:rsidRPr="00BB3D77">
        <w:t xml:space="preserve">. </w:t>
      </w:r>
    </w:p>
    <w:p w14:paraId="0CBE1735" w14:textId="1CD67034" w:rsidR="002C5D0A" w:rsidRPr="00BB3D77" w:rsidRDefault="00B50694" w:rsidP="0092267D">
      <w:pPr>
        <w:pStyle w:val="Body"/>
      </w:pPr>
      <w:r w:rsidRPr="00BB3D77">
        <w:t>T</w:t>
      </w:r>
      <w:r w:rsidR="001919FD" w:rsidRPr="00BB3D77">
        <w:t>he</w:t>
      </w:r>
      <w:r w:rsidRPr="00BB3D77">
        <w:t xml:space="preserve"> FNHP</w:t>
      </w:r>
      <w:r w:rsidR="00805AA4" w:rsidRPr="00BB3D77">
        <w:t xml:space="preserve"> </w:t>
      </w:r>
      <w:r w:rsidR="001919FD" w:rsidRPr="00BB3D77">
        <w:t>adapts</w:t>
      </w:r>
      <w:r w:rsidR="00805AA4" w:rsidRPr="00BB3D77">
        <w:t xml:space="preserve"> housing loan</w:t>
      </w:r>
      <w:r w:rsidRPr="00BB3D77">
        <w:t>s</w:t>
      </w:r>
      <w:r w:rsidR="00805AA4" w:rsidRPr="00BB3D77">
        <w:t xml:space="preserve"> to the circumstances </w:t>
      </w:r>
      <w:r w:rsidR="001919FD" w:rsidRPr="00BB3D77">
        <w:t xml:space="preserve">and needs </w:t>
      </w:r>
      <w:r w:rsidR="00805AA4" w:rsidRPr="00BB3D77">
        <w:t xml:space="preserve">of </w:t>
      </w:r>
      <w:r w:rsidRPr="00BB3D77">
        <w:t xml:space="preserve">each participating </w:t>
      </w:r>
      <w:r w:rsidR="00805AA4" w:rsidRPr="00BB3D77">
        <w:t>First Nation</w:t>
      </w:r>
      <w:r w:rsidR="00FD7EDB" w:rsidRPr="00BB3D77">
        <w:t xml:space="preserve"> and client</w:t>
      </w:r>
      <w:r w:rsidR="00805AA4" w:rsidRPr="00BB3D77">
        <w:t xml:space="preserve">. </w:t>
      </w:r>
      <w:r w:rsidR="001919FD" w:rsidRPr="00BB3D77">
        <w:t>It offers l</w:t>
      </w:r>
      <w:r w:rsidR="00805AA4" w:rsidRPr="00BB3D77">
        <w:t xml:space="preserve">oans </w:t>
      </w:r>
      <w:r w:rsidR="001919FD" w:rsidRPr="00BB3D77">
        <w:t>to help on-reserve clients buy</w:t>
      </w:r>
      <w:r w:rsidR="00805AA4" w:rsidRPr="00BB3D77">
        <w:t xml:space="preserve">, </w:t>
      </w:r>
      <w:r w:rsidR="001919FD" w:rsidRPr="00BB3D77">
        <w:t>build, or renovate</w:t>
      </w:r>
      <w:r w:rsidR="00805AA4" w:rsidRPr="00BB3D77">
        <w:t xml:space="preserve"> family residences based on </w:t>
      </w:r>
      <w:r w:rsidR="001919FD" w:rsidRPr="00BB3D77">
        <w:t>home equity value and the</w:t>
      </w:r>
      <w:r w:rsidR="00C0783F" w:rsidRPr="00BB3D77">
        <w:t xml:space="preserve"> client’s</w:t>
      </w:r>
      <w:r w:rsidR="001919FD" w:rsidRPr="00BB3D77">
        <w:t xml:space="preserve"> </w:t>
      </w:r>
      <w:r w:rsidR="00805AA4" w:rsidRPr="00BB3D77">
        <w:t xml:space="preserve">capacity </w:t>
      </w:r>
      <w:r w:rsidR="001919FD" w:rsidRPr="00BB3D77">
        <w:t>to repay</w:t>
      </w:r>
      <w:r w:rsidR="00805AA4" w:rsidRPr="00BB3D77">
        <w:t xml:space="preserve">. </w:t>
      </w:r>
      <w:r w:rsidR="001919FD" w:rsidRPr="00BB3D77">
        <w:t xml:space="preserve">Unlike mainstream Canadian banks </w:t>
      </w:r>
      <w:r w:rsidR="00805AA4" w:rsidRPr="00BB3D77">
        <w:t xml:space="preserve">ABSCAN does not require </w:t>
      </w:r>
      <w:r w:rsidR="001919FD" w:rsidRPr="00BB3D77">
        <w:t xml:space="preserve">a </w:t>
      </w:r>
      <w:r w:rsidR="00805AA4" w:rsidRPr="00BB3D77">
        <w:t>Band Council guarantee.</w:t>
      </w:r>
    </w:p>
    <w:p w14:paraId="05F5F9BC" w14:textId="35FFA861" w:rsidR="00E33EFB" w:rsidRPr="00BB3D77" w:rsidRDefault="001919FD" w:rsidP="0092267D">
      <w:pPr>
        <w:pStyle w:val="Body"/>
      </w:pPr>
      <w:r w:rsidRPr="00BB3D77">
        <w:t xml:space="preserve">The </w:t>
      </w:r>
      <w:r w:rsidR="00E33EFB" w:rsidRPr="00BB3D77">
        <w:t>Huron-Wendat</w:t>
      </w:r>
      <w:r w:rsidRPr="00BB3D77">
        <w:t xml:space="preserve"> community of </w:t>
      </w:r>
      <w:r w:rsidR="00B012F6" w:rsidRPr="00BB3D77">
        <w:t>Wendake</w:t>
      </w:r>
      <w:r w:rsidR="00E33EFB" w:rsidRPr="00BB3D77">
        <w:t>, in Quebec,</w:t>
      </w:r>
      <w:r w:rsidR="00B012F6" w:rsidRPr="00BB3D77">
        <w:t xml:space="preserve"> </w:t>
      </w:r>
      <w:r w:rsidRPr="00BB3D77">
        <w:t xml:space="preserve">serves as a model of the approach SOCCA and ABSCAN have helped to </w:t>
      </w:r>
      <w:r w:rsidR="00E33EFB" w:rsidRPr="00BB3D77">
        <w:t>refine</w:t>
      </w:r>
      <w:r w:rsidRPr="00BB3D77">
        <w:t xml:space="preserve">. From its initial steps with financial partners over 45 years ago, the community has </w:t>
      </w:r>
      <w:r w:rsidR="00E33EFB" w:rsidRPr="00BB3D77">
        <w:t>grown dramatically in terms of community wellbeing</w:t>
      </w:r>
      <w:r w:rsidR="00B012F6" w:rsidRPr="00BB3D77">
        <w:t xml:space="preserve">, </w:t>
      </w:r>
      <w:r w:rsidR="00E33EFB" w:rsidRPr="00BB3D77">
        <w:t xml:space="preserve">local </w:t>
      </w:r>
      <w:r w:rsidR="00B012F6" w:rsidRPr="00BB3D77">
        <w:t>infrastructure</w:t>
      </w:r>
      <w:r w:rsidR="00E33EFB" w:rsidRPr="00BB3D77">
        <w:t>,</w:t>
      </w:r>
      <w:r w:rsidR="00B012F6" w:rsidRPr="00BB3D77">
        <w:t xml:space="preserve"> and homeownership rates</w:t>
      </w:r>
      <w:r w:rsidR="00E33EFB" w:rsidRPr="00BB3D77">
        <w:t>, now</w:t>
      </w:r>
      <w:r w:rsidR="00B012F6" w:rsidRPr="00BB3D77">
        <w:t xml:space="preserve"> comparable t</w:t>
      </w:r>
      <w:r w:rsidR="00E33EFB" w:rsidRPr="00BB3D77">
        <w:t>o</w:t>
      </w:r>
      <w:r w:rsidR="00B012F6" w:rsidRPr="00BB3D77">
        <w:t xml:space="preserve"> neighbo</w:t>
      </w:r>
      <w:r w:rsidR="00E33EFB" w:rsidRPr="00BB3D77">
        <w:t>uring non-Indigenous communities</w:t>
      </w:r>
      <w:r w:rsidR="00B012F6" w:rsidRPr="00BB3D77">
        <w:t xml:space="preserve">. </w:t>
      </w:r>
      <w:r w:rsidR="00B64923" w:rsidRPr="00BB3D77">
        <w:t xml:space="preserve">As previously mentioned, </w:t>
      </w:r>
      <w:r w:rsidR="00EF6BF3" w:rsidRPr="00BB3D77">
        <w:t xml:space="preserve">2016 Census data places </w:t>
      </w:r>
      <w:r w:rsidR="00B64923" w:rsidRPr="00BB3D77">
        <w:t xml:space="preserve">Wendake’s </w:t>
      </w:r>
      <w:r w:rsidR="00EF6BF3" w:rsidRPr="00BB3D77">
        <w:t>rate</w:t>
      </w:r>
      <w:r w:rsidR="00B64923" w:rsidRPr="00BB3D77">
        <w:t xml:space="preserve"> of suitable housing </w:t>
      </w:r>
      <w:r w:rsidR="00EF6BF3" w:rsidRPr="00BB3D77">
        <w:t>at</w:t>
      </w:r>
      <w:r w:rsidR="001E0053" w:rsidRPr="00BB3D77">
        <w:t xml:space="preserve"> 98 per cent.</w:t>
      </w:r>
    </w:p>
    <w:p w14:paraId="4D5E09CB" w14:textId="3262E77B" w:rsidR="002D7D24" w:rsidRPr="00BB3D77" w:rsidRDefault="003633C7" w:rsidP="0092267D">
      <w:pPr>
        <w:pStyle w:val="Body"/>
      </w:pPr>
      <w:r w:rsidRPr="00BB3D77">
        <w:t xml:space="preserve">Today </w:t>
      </w:r>
      <w:r w:rsidR="00B012F6" w:rsidRPr="00BB3D77">
        <w:t xml:space="preserve">Wendake boasts a </w:t>
      </w:r>
      <w:r w:rsidR="00E33EFB" w:rsidRPr="00BB3D77">
        <w:t>robust</w:t>
      </w:r>
      <w:r w:rsidR="00B012F6" w:rsidRPr="00BB3D77">
        <w:t xml:space="preserve"> housing market where homeownership has become </w:t>
      </w:r>
      <w:r w:rsidR="00E33EFB" w:rsidRPr="00BB3D77">
        <w:t xml:space="preserve">an integral part of </w:t>
      </w:r>
      <w:r w:rsidR="00B012F6" w:rsidRPr="00BB3D77">
        <w:t>family wealth creation, savings</w:t>
      </w:r>
      <w:r w:rsidR="00E33EFB" w:rsidRPr="00BB3D77">
        <w:t>,</w:t>
      </w:r>
      <w:r w:rsidR="00B012F6" w:rsidRPr="00BB3D77">
        <w:t xml:space="preserve"> and business start-up. </w:t>
      </w:r>
      <w:r w:rsidR="00E33EFB" w:rsidRPr="00BB3D77">
        <w:t xml:space="preserve">Having learned from, and been a part of Wendake’s </w:t>
      </w:r>
      <w:r w:rsidRPr="00BB3D77">
        <w:t>achievements</w:t>
      </w:r>
      <w:r w:rsidR="00E33EFB" w:rsidRPr="00BB3D77">
        <w:t xml:space="preserve"> since 2005, </w:t>
      </w:r>
      <w:r w:rsidR="00B012F6" w:rsidRPr="00BB3D77">
        <w:t xml:space="preserve">ABSCAN </w:t>
      </w:r>
      <w:r w:rsidR="00E33EFB" w:rsidRPr="00BB3D77">
        <w:t xml:space="preserve">is now </w:t>
      </w:r>
      <w:r w:rsidR="00B012F6" w:rsidRPr="00BB3D77">
        <w:t>partner</w:t>
      </w:r>
      <w:r w:rsidR="00E33EFB" w:rsidRPr="00BB3D77">
        <w:t>ing</w:t>
      </w:r>
      <w:r w:rsidR="00B012F6" w:rsidRPr="00BB3D77">
        <w:t xml:space="preserve"> with other First Nations to </w:t>
      </w:r>
      <w:r w:rsidR="002D7D24" w:rsidRPr="00BB3D77">
        <w:t>promote</w:t>
      </w:r>
      <w:r w:rsidR="00B012F6" w:rsidRPr="00BB3D77">
        <w:t xml:space="preserve"> </w:t>
      </w:r>
      <w:r w:rsidR="002B1AD5" w:rsidRPr="00BB3D77">
        <w:t xml:space="preserve">on-reserve </w:t>
      </w:r>
      <w:r w:rsidR="00B012F6" w:rsidRPr="00BB3D77">
        <w:t>homeownership strategies that meet their needs and priorities.</w:t>
      </w:r>
      <w:r w:rsidR="00E33EFB" w:rsidRPr="00BB3D77">
        <w:t xml:space="preserve"> </w:t>
      </w:r>
    </w:p>
    <w:p w14:paraId="662E81CF" w14:textId="7B9622F2" w:rsidR="000B0546" w:rsidRPr="00BB3D77" w:rsidRDefault="0092267D" w:rsidP="0092267D">
      <w:pPr>
        <w:pStyle w:val="Body"/>
      </w:pPr>
      <w:r w:rsidRPr="00BB3D77">
        <w:t>Inspired by the Huron-Wendat</w:t>
      </w:r>
      <w:r w:rsidR="00E33EFB" w:rsidRPr="00BB3D77">
        <w:t xml:space="preserve"> </w:t>
      </w:r>
      <w:r w:rsidR="00BD38B3" w:rsidRPr="00BB3D77">
        <w:t>model in Wendake</w:t>
      </w:r>
      <w:r w:rsidRPr="00BB3D77">
        <w:t xml:space="preserve">, </w:t>
      </w:r>
      <w:r w:rsidR="00E33EFB" w:rsidRPr="00BB3D77">
        <w:t xml:space="preserve">the Yukon based </w:t>
      </w:r>
      <w:r w:rsidR="006E748D">
        <w:t>IFI</w:t>
      </w:r>
      <w:r w:rsidR="00E33EFB" w:rsidRPr="00BB3D77">
        <w:t xml:space="preserve">, </w:t>
      </w:r>
      <w:r w:rsidRPr="00BB3D77">
        <w:t>däna Näye Ventures (dNV)</w:t>
      </w:r>
      <w:r w:rsidR="00E33EFB" w:rsidRPr="00BB3D77">
        <w:t xml:space="preserve">, now </w:t>
      </w:r>
      <w:r w:rsidRPr="00BB3D77">
        <w:t xml:space="preserve">plans to provide housing loans to members of 14 </w:t>
      </w:r>
      <w:r w:rsidR="00E33EFB" w:rsidRPr="00BB3D77">
        <w:t>First Nations</w:t>
      </w:r>
      <w:r w:rsidRPr="00BB3D77">
        <w:t xml:space="preserve"> located throughout the Yukon and Northern B</w:t>
      </w:r>
      <w:r w:rsidR="00E33EFB" w:rsidRPr="00BB3D77">
        <w:t>ritish Columbia</w:t>
      </w:r>
      <w:r w:rsidRPr="00BB3D77">
        <w:t>.</w:t>
      </w:r>
      <w:r w:rsidR="00E33EFB" w:rsidRPr="00BB3D77">
        <w:t xml:space="preserve"> </w:t>
      </w:r>
      <w:r w:rsidR="00BD38B3" w:rsidRPr="00BB3D77">
        <w:t xml:space="preserve">With support from the McConnell Foundation, </w:t>
      </w:r>
      <w:r w:rsidR="002D7D24" w:rsidRPr="00BB3D77">
        <w:t xml:space="preserve">a charity and social impact fund, </w:t>
      </w:r>
      <w:r w:rsidRPr="00BB3D77">
        <w:t>däna Näye’s “Home Ownership Financing in Yukon First Nation Communities”</w:t>
      </w:r>
      <w:r w:rsidR="005969A3" w:rsidRPr="00BB3D77">
        <w:t xml:space="preserve"> </w:t>
      </w:r>
      <w:r w:rsidRPr="00BB3D77">
        <w:t xml:space="preserve">project will </w:t>
      </w:r>
      <w:r w:rsidR="000B5109" w:rsidRPr="00BB3D77">
        <w:t>develop</w:t>
      </w:r>
      <w:r w:rsidRPr="00BB3D77">
        <w:t xml:space="preserve"> </w:t>
      </w:r>
      <w:r w:rsidR="00BD38B3" w:rsidRPr="00BB3D77">
        <w:t>and pilot</w:t>
      </w:r>
      <w:r w:rsidRPr="00BB3D77">
        <w:t xml:space="preserve"> a </w:t>
      </w:r>
      <w:r w:rsidR="00BD38B3" w:rsidRPr="00BB3D77">
        <w:t>portfolio</w:t>
      </w:r>
      <w:r w:rsidRPr="00BB3D77">
        <w:t xml:space="preserve"> of housing loan products </w:t>
      </w:r>
      <w:r w:rsidR="00BD38B3" w:rsidRPr="00BB3D77">
        <w:t>based on ABSCAN’s approach</w:t>
      </w:r>
      <w:r w:rsidR="005969A3" w:rsidRPr="00BB3D77">
        <w:t xml:space="preserve"> and tailored to the unique realities of these northern communities</w:t>
      </w:r>
      <w:r w:rsidR="00BD38B3" w:rsidRPr="00BB3D77">
        <w:t>.</w:t>
      </w:r>
    </w:p>
    <w:p w14:paraId="79BCDD44" w14:textId="29EE63F7" w:rsidR="00035FAD" w:rsidRPr="00BB3D77" w:rsidRDefault="00035FAD" w:rsidP="00A570B9">
      <w:pPr>
        <w:pStyle w:val="Heading5"/>
      </w:pPr>
      <w:bookmarkStart w:id="70" w:name="_Toc136865117"/>
      <w:r w:rsidRPr="00BB3D77">
        <w:t>Walker Home Construction</w:t>
      </w:r>
      <w:bookmarkEnd w:id="70"/>
    </w:p>
    <w:p w14:paraId="109F68CC" w14:textId="65B6397A" w:rsidR="00376F6E" w:rsidRPr="00BB3D77" w:rsidRDefault="00805597" w:rsidP="00035FAD">
      <w:pPr>
        <w:pStyle w:val="Body"/>
      </w:pPr>
      <w:r w:rsidRPr="00BB3D77">
        <w:t xml:space="preserve">Founded in 2009, </w:t>
      </w:r>
      <w:r w:rsidR="00035FAD" w:rsidRPr="00BB3D77">
        <w:t>Walker Home Construction</w:t>
      </w:r>
      <w:r w:rsidR="00596239" w:rsidRPr="00BB3D77">
        <w:t xml:space="preserve"> is</w:t>
      </w:r>
      <w:r w:rsidR="00DB4BEC" w:rsidRPr="00BB3D77">
        <w:t xml:space="preserve"> one of Yukon’s </w:t>
      </w:r>
      <w:r w:rsidR="00596239" w:rsidRPr="00BB3D77">
        <w:t>leading</w:t>
      </w:r>
      <w:r w:rsidR="00035FAD" w:rsidRPr="00BB3D77">
        <w:t xml:space="preserve"> </w:t>
      </w:r>
      <w:r w:rsidR="00986B54" w:rsidRPr="00BB3D77">
        <w:t xml:space="preserve">Indigenous-owned </w:t>
      </w:r>
      <w:r w:rsidR="00035FAD" w:rsidRPr="00BB3D77">
        <w:t>ful</w:t>
      </w:r>
      <w:r w:rsidR="00986B54" w:rsidRPr="00BB3D77">
        <w:t>l-</w:t>
      </w:r>
      <w:r w:rsidR="00035FAD" w:rsidRPr="00BB3D77">
        <w:t>service construction compan</w:t>
      </w:r>
      <w:r w:rsidR="00DB4BEC" w:rsidRPr="00BB3D77">
        <w:t>ies</w:t>
      </w:r>
      <w:r w:rsidR="00596239" w:rsidRPr="00BB3D77">
        <w:t>.</w:t>
      </w:r>
      <w:r w:rsidR="00125864" w:rsidRPr="00BB3D77">
        <w:t xml:space="preserve"> </w:t>
      </w:r>
      <w:r w:rsidR="00F206C2" w:rsidRPr="00BB3D77">
        <w:t xml:space="preserve">In 2019, Les Walker, the company’s founder, turned to </w:t>
      </w:r>
      <w:r w:rsidR="002F45EE">
        <w:t>d</w:t>
      </w:r>
      <w:r w:rsidR="00F206C2" w:rsidRPr="00BB3D77">
        <w:t xml:space="preserve">NV, </w:t>
      </w:r>
      <w:r w:rsidR="00F206C2" w:rsidRPr="00BB3D77">
        <w:lastRenderedPageBreak/>
        <w:t xml:space="preserve">his local </w:t>
      </w:r>
      <w:r w:rsidR="006E748D">
        <w:t>IFI</w:t>
      </w:r>
      <w:r w:rsidR="00F206C2" w:rsidRPr="00BB3D77">
        <w:t xml:space="preserve">, </w:t>
      </w:r>
      <w:r w:rsidR="00487189" w:rsidRPr="00BB3D77">
        <w:t xml:space="preserve">with an </w:t>
      </w:r>
      <w:r w:rsidR="00F206C2" w:rsidRPr="00BB3D77">
        <w:t>innovative new approach to home</w:t>
      </w:r>
      <w:r w:rsidR="00FE4427" w:rsidRPr="00BB3D77">
        <w:t>building</w:t>
      </w:r>
      <w:r w:rsidR="00F206C2" w:rsidRPr="00BB3D77">
        <w:t xml:space="preserve"> in </w:t>
      </w:r>
      <w:r w:rsidR="00FE4427" w:rsidRPr="00BB3D77">
        <w:t>in his northern region</w:t>
      </w:r>
      <w:r w:rsidR="00F206C2" w:rsidRPr="00BB3D77">
        <w:t>.</w:t>
      </w:r>
      <w:r w:rsidR="0029309B" w:rsidRPr="00BB3D77">
        <w:rPr>
          <w:rStyle w:val="FootnoteReference"/>
        </w:rPr>
        <w:footnoteReference w:id="75"/>
      </w:r>
      <w:r w:rsidR="002A4243" w:rsidRPr="00BB3D77">
        <w:t xml:space="preserve"> </w:t>
      </w:r>
      <w:r w:rsidR="00035FAD" w:rsidRPr="00BB3D77">
        <w:t xml:space="preserve">With assistance from </w:t>
      </w:r>
      <w:r w:rsidR="002F45EE">
        <w:t>d</w:t>
      </w:r>
      <w:r w:rsidR="00F14B1D" w:rsidRPr="00BB3D77">
        <w:t>NV’s</w:t>
      </w:r>
      <w:r w:rsidR="00035FAD" w:rsidRPr="00BB3D77">
        <w:t xml:space="preserve"> Entrepreneurship and Business Development (EBD) </w:t>
      </w:r>
      <w:r w:rsidR="00F14B1D" w:rsidRPr="00BB3D77">
        <w:t>p</w:t>
      </w:r>
      <w:r w:rsidR="00035FAD" w:rsidRPr="00BB3D77">
        <w:t xml:space="preserve">rogram, </w:t>
      </w:r>
      <w:r w:rsidR="00AB6199" w:rsidRPr="00BB3D77">
        <w:t>Walker’s team</w:t>
      </w:r>
      <w:r w:rsidR="00035FAD" w:rsidRPr="00BB3D77">
        <w:t xml:space="preserve"> </w:t>
      </w:r>
      <w:r w:rsidR="009C3848" w:rsidRPr="00BB3D77">
        <w:t xml:space="preserve">began </w:t>
      </w:r>
      <w:r w:rsidR="00AB6199" w:rsidRPr="00BB3D77">
        <w:t>to implement</w:t>
      </w:r>
      <w:r w:rsidR="009C3848" w:rsidRPr="00BB3D77">
        <w:t xml:space="preserve"> </w:t>
      </w:r>
      <w:r w:rsidR="00035FAD" w:rsidRPr="00BB3D77">
        <w:t xml:space="preserve">wall </w:t>
      </w:r>
      <w:r w:rsidR="009A6A2F" w:rsidRPr="00BB3D77">
        <w:t>p</w:t>
      </w:r>
      <w:r w:rsidR="00035FAD" w:rsidRPr="00BB3D77">
        <w:t>anelization technology</w:t>
      </w:r>
      <w:r w:rsidR="0027447F" w:rsidRPr="00BB3D77">
        <w:t xml:space="preserve">. </w:t>
      </w:r>
      <w:r w:rsidR="00376F6E" w:rsidRPr="00BB3D77">
        <w:t xml:space="preserve">Through wall panelization the company </w:t>
      </w:r>
      <w:r w:rsidR="00700D42" w:rsidRPr="00BB3D77">
        <w:t>fabricates</w:t>
      </w:r>
      <w:r w:rsidR="00376F6E" w:rsidRPr="00BB3D77">
        <w:t xml:space="preserve"> walls in an </w:t>
      </w:r>
      <w:r w:rsidR="00700D42" w:rsidRPr="00BB3D77">
        <w:t xml:space="preserve">off-site </w:t>
      </w:r>
      <w:r w:rsidR="00376F6E" w:rsidRPr="00BB3D77">
        <w:t>indoor facility</w:t>
      </w:r>
      <w:r w:rsidR="006A5BFE" w:rsidRPr="00BB3D77">
        <w:t xml:space="preserve">, and </w:t>
      </w:r>
      <w:r w:rsidR="00376F6E" w:rsidRPr="00BB3D77">
        <w:t xml:space="preserve">then </w:t>
      </w:r>
      <w:r w:rsidR="006A5BFE" w:rsidRPr="00BB3D77">
        <w:t xml:space="preserve">assembles the </w:t>
      </w:r>
      <w:r w:rsidR="00700D42" w:rsidRPr="00BB3D77">
        <w:t xml:space="preserve">manufactured </w:t>
      </w:r>
      <w:r w:rsidR="006A5BFE" w:rsidRPr="00BB3D77">
        <w:t xml:space="preserve">panels </w:t>
      </w:r>
      <w:r w:rsidR="001A0F81" w:rsidRPr="00BB3D77">
        <w:t>during</w:t>
      </w:r>
      <w:r w:rsidR="006A5BFE" w:rsidRPr="00BB3D77">
        <w:t xml:space="preserve"> construction</w:t>
      </w:r>
      <w:r w:rsidR="00376F6E" w:rsidRPr="00BB3D77">
        <w:t>.</w:t>
      </w:r>
      <w:r w:rsidR="00831BE9" w:rsidRPr="00BB3D77">
        <w:rPr>
          <w:rStyle w:val="FootnoteReference"/>
        </w:rPr>
        <w:footnoteReference w:id="76"/>
      </w:r>
      <w:r w:rsidR="00376F6E" w:rsidRPr="00BB3D77">
        <w:t xml:space="preserve">  </w:t>
      </w:r>
    </w:p>
    <w:p w14:paraId="7B91FE92" w14:textId="7A5E02AF" w:rsidR="005D68C1" w:rsidRPr="00BB3D77" w:rsidRDefault="0027447F" w:rsidP="00035FAD">
      <w:pPr>
        <w:pStyle w:val="Body"/>
      </w:pPr>
      <w:r w:rsidRPr="00BB3D77">
        <w:t xml:space="preserve">The </w:t>
      </w:r>
      <w:r w:rsidR="006A5BFE" w:rsidRPr="00BB3D77">
        <w:t>company</w:t>
      </w:r>
      <w:r w:rsidR="00343D74" w:rsidRPr="00BB3D77">
        <w:t xml:space="preserve"> began applying panelization </w:t>
      </w:r>
      <w:r w:rsidR="00166136" w:rsidRPr="00BB3D77">
        <w:t>during</w:t>
      </w:r>
      <w:r w:rsidR="006A5BFE" w:rsidRPr="00BB3D77">
        <w:t xml:space="preserve"> </w:t>
      </w:r>
      <w:r w:rsidR="00343D74" w:rsidRPr="00BB3D77">
        <w:t>the</w:t>
      </w:r>
      <w:r w:rsidR="00035FAD" w:rsidRPr="00BB3D77">
        <w:t xml:space="preserve"> 2020 construction season</w:t>
      </w:r>
      <w:r w:rsidR="00343D74" w:rsidRPr="00BB3D77">
        <w:t>,</w:t>
      </w:r>
      <w:r w:rsidR="005D68C1" w:rsidRPr="00BB3D77">
        <w:t xml:space="preserve"> which</w:t>
      </w:r>
      <w:r w:rsidRPr="00BB3D77">
        <w:t xml:space="preserve"> led to</w:t>
      </w:r>
      <w:r w:rsidR="005D68C1" w:rsidRPr="00BB3D77">
        <w:t xml:space="preserve"> a</w:t>
      </w:r>
      <w:r w:rsidR="00035FAD" w:rsidRPr="00BB3D77">
        <w:t xml:space="preserve"> </w:t>
      </w:r>
      <w:r w:rsidR="00E440C7" w:rsidRPr="00BB3D77">
        <w:t>rapid</w:t>
      </w:r>
      <w:r w:rsidR="00035FAD" w:rsidRPr="00BB3D77">
        <w:t xml:space="preserve"> expan</w:t>
      </w:r>
      <w:r w:rsidR="005D68C1" w:rsidRPr="00BB3D77">
        <w:t xml:space="preserve">sion of their on-site process and facilities </w:t>
      </w:r>
      <w:r w:rsidR="00035FAD" w:rsidRPr="00BB3D77">
        <w:t>in 2021.</w:t>
      </w:r>
      <w:r w:rsidR="00831BE9" w:rsidRPr="00BB3D77">
        <w:rPr>
          <w:rStyle w:val="FootnoteReference"/>
        </w:rPr>
        <w:footnoteReference w:id="77"/>
      </w:r>
      <w:r w:rsidR="00035FAD" w:rsidRPr="00BB3D77">
        <w:t xml:space="preserve"> </w:t>
      </w:r>
    </w:p>
    <w:p w14:paraId="5344279C" w14:textId="789101A1" w:rsidR="000B0546" w:rsidRPr="00BB3D77" w:rsidRDefault="005D68C1" w:rsidP="00035FAD">
      <w:pPr>
        <w:pStyle w:val="Body"/>
      </w:pPr>
      <w:r w:rsidRPr="00BB3D77">
        <w:t xml:space="preserve">Aside from </w:t>
      </w:r>
      <w:r w:rsidR="00FA32A8" w:rsidRPr="00BB3D77">
        <w:t>working</w:t>
      </w:r>
      <w:r w:rsidR="00626798" w:rsidRPr="00BB3D77">
        <w:t xml:space="preserve"> to improve </w:t>
      </w:r>
      <w:r w:rsidR="00FA32A8" w:rsidRPr="00BB3D77">
        <w:t xml:space="preserve">northern </w:t>
      </w:r>
      <w:r w:rsidR="00626798" w:rsidRPr="00BB3D77">
        <w:t>homebuilding</w:t>
      </w:r>
      <w:r w:rsidR="00FA32A8" w:rsidRPr="00BB3D77">
        <w:t xml:space="preserve"> processes</w:t>
      </w:r>
      <w:r w:rsidRPr="00BB3D77">
        <w:t xml:space="preserve">, Walker and </w:t>
      </w:r>
      <w:r w:rsidR="00FA32A8" w:rsidRPr="00BB3D77">
        <w:t>his</w:t>
      </w:r>
      <w:r w:rsidRPr="00BB3D77">
        <w:t xml:space="preserve"> team are </w:t>
      </w:r>
      <w:r w:rsidR="00035FAD" w:rsidRPr="00BB3D77">
        <w:t>commi</w:t>
      </w:r>
      <w:r w:rsidRPr="00BB3D77">
        <w:t>tted</w:t>
      </w:r>
      <w:r w:rsidR="00035FAD" w:rsidRPr="00BB3D77">
        <w:t xml:space="preserve"> to </w:t>
      </w:r>
      <w:r w:rsidRPr="00BB3D77">
        <w:t>hiring</w:t>
      </w:r>
      <w:r w:rsidR="00035FAD" w:rsidRPr="00BB3D77">
        <w:t xml:space="preserve"> local contractors</w:t>
      </w:r>
      <w:r w:rsidRPr="00BB3D77">
        <w:t xml:space="preserve">. Their approach helps to </w:t>
      </w:r>
      <w:r w:rsidR="00035FAD" w:rsidRPr="00BB3D77">
        <w:t>build</w:t>
      </w:r>
      <w:r w:rsidRPr="00BB3D77">
        <w:t xml:space="preserve"> local</w:t>
      </w:r>
      <w:r w:rsidR="00035FAD" w:rsidRPr="00BB3D77">
        <w:t xml:space="preserve"> capacity in the</w:t>
      </w:r>
      <w:r w:rsidRPr="00BB3D77">
        <w:t xml:space="preserve"> communities they serve</w:t>
      </w:r>
      <w:r w:rsidR="00035FAD" w:rsidRPr="00BB3D77">
        <w:t xml:space="preserve"> and </w:t>
      </w:r>
      <w:r w:rsidRPr="00BB3D77">
        <w:t xml:space="preserve">helps </w:t>
      </w:r>
      <w:r w:rsidR="00035FAD" w:rsidRPr="00BB3D77">
        <w:t>increas</w:t>
      </w:r>
      <w:r w:rsidRPr="00BB3D77">
        <w:t>e</w:t>
      </w:r>
      <w:r w:rsidR="00035FAD" w:rsidRPr="00BB3D77">
        <w:t xml:space="preserve"> Indigenous </w:t>
      </w:r>
      <w:r w:rsidRPr="00BB3D77">
        <w:t>participation</w:t>
      </w:r>
      <w:r w:rsidR="00035FAD" w:rsidRPr="00BB3D77">
        <w:t xml:space="preserve"> in </w:t>
      </w:r>
      <w:r w:rsidRPr="00BB3D77">
        <w:t xml:space="preserve">Yukon’s </w:t>
      </w:r>
      <w:r w:rsidR="00306113" w:rsidRPr="00BB3D77">
        <w:t xml:space="preserve">vital </w:t>
      </w:r>
      <w:r w:rsidR="00035FAD" w:rsidRPr="00BB3D77">
        <w:t xml:space="preserve">residential construction </w:t>
      </w:r>
      <w:r w:rsidRPr="00BB3D77">
        <w:t>sector</w:t>
      </w:r>
      <w:r w:rsidR="00035FAD" w:rsidRPr="00BB3D77">
        <w:t>.</w:t>
      </w:r>
      <w:r w:rsidR="00831BE9" w:rsidRPr="00BB3D77">
        <w:rPr>
          <w:rStyle w:val="FootnoteReference"/>
        </w:rPr>
        <w:footnoteReference w:id="78"/>
      </w:r>
      <w:r w:rsidR="00035FAD" w:rsidRPr="00BB3D77">
        <w:t xml:space="preserve"> </w:t>
      </w:r>
      <w:r w:rsidR="000B0546" w:rsidRPr="00BB3D77">
        <w:br w:type="page"/>
      </w:r>
    </w:p>
    <w:p w14:paraId="4713A416" w14:textId="236A5A07" w:rsidR="00091BDD" w:rsidRPr="00BB3D77" w:rsidRDefault="00091BDD" w:rsidP="00091BDD">
      <w:pPr>
        <w:pStyle w:val="Heading1"/>
      </w:pPr>
      <w:bookmarkStart w:id="71" w:name="_Hlk109129087"/>
      <w:bookmarkStart w:id="72" w:name="_Toc136865118"/>
      <w:r w:rsidRPr="00BB3D77">
        <w:lastRenderedPageBreak/>
        <w:t>C</w:t>
      </w:r>
      <w:bookmarkEnd w:id="37"/>
      <w:r w:rsidR="00A26A7E" w:rsidRPr="00BB3D77">
        <w:t>onclusion</w:t>
      </w:r>
      <w:bookmarkEnd w:id="72"/>
    </w:p>
    <w:p w14:paraId="7FBB9171" w14:textId="11F7324D" w:rsidR="00524995" w:rsidRPr="00BB3D77" w:rsidRDefault="006E748D" w:rsidP="006737AC">
      <w:pPr>
        <w:pStyle w:val="Heading2"/>
      </w:pPr>
      <w:bookmarkStart w:id="73" w:name="_Toc136865119"/>
      <w:r>
        <w:t>IFI</w:t>
      </w:r>
      <w:r w:rsidR="007C2374" w:rsidRPr="00BB3D77">
        <w:t>s</w:t>
      </w:r>
      <w:r w:rsidR="00F934FD" w:rsidRPr="00BB3D77">
        <w:t xml:space="preserve"> </w:t>
      </w:r>
      <w:r w:rsidR="00C60118" w:rsidRPr="00BB3D77">
        <w:t>B</w:t>
      </w:r>
      <w:r w:rsidR="00F934FD" w:rsidRPr="00BB3D77">
        <w:t xml:space="preserve">uild </w:t>
      </w:r>
      <w:r w:rsidR="00C60118" w:rsidRPr="00BB3D77">
        <w:t>S</w:t>
      </w:r>
      <w:r w:rsidR="00F934FD" w:rsidRPr="00BB3D77">
        <w:t xml:space="preserve">ocial and </w:t>
      </w:r>
      <w:r w:rsidR="00C60118" w:rsidRPr="00BB3D77">
        <w:t>E</w:t>
      </w:r>
      <w:r w:rsidR="00F934FD" w:rsidRPr="00BB3D77">
        <w:t xml:space="preserve">conomic </w:t>
      </w:r>
      <w:r w:rsidR="00C60118" w:rsidRPr="00BB3D77">
        <w:t>C</w:t>
      </w:r>
      <w:r w:rsidR="00F934FD" w:rsidRPr="00BB3D77">
        <w:t>apital</w:t>
      </w:r>
      <w:bookmarkEnd w:id="73"/>
    </w:p>
    <w:p w14:paraId="726A67FF" w14:textId="41407E96" w:rsidR="003867D2" w:rsidRPr="00BB3D77" w:rsidRDefault="003867D2" w:rsidP="003867D2">
      <w:pPr>
        <w:pStyle w:val="Body"/>
      </w:pPr>
      <w:r w:rsidRPr="00BB3D77">
        <w:t>From 2016 to 2021</w:t>
      </w:r>
      <w:r w:rsidR="001A7B2C">
        <w:t>,</w:t>
      </w:r>
      <w:r w:rsidRPr="00BB3D77">
        <w:t xml:space="preserve"> the total of $813 million </w:t>
      </w:r>
      <w:r w:rsidR="001A7B2C">
        <w:t xml:space="preserve">in </w:t>
      </w:r>
      <w:r w:rsidR="006E748D">
        <w:t>IFI</w:t>
      </w:r>
      <w:r w:rsidR="001A7B2C">
        <w:t xml:space="preserve">-driven investments tied to ABFP and ADLA </w:t>
      </w:r>
      <w:r w:rsidRPr="00BB3D77">
        <w:t>had a total GDP impact of more than $876 million.</w:t>
      </w:r>
      <w:r w:rsidRPr="00BB3D77">
        <w:rPr>
          <w:rStyle w:val="FootnoteReference"/>
        </w:rPr>
        <w:footnoteReference w:id="79"/>
      </w:r>
      <w:r w:rsidRPr="00BB3D77">
        <w:t xml:space="preserve"> For every $1 </w:t>
      </w:r>
      <w:r w:rsidR="006E748D">
        <w:t>IFI</w:t>
      </w:r>
      <w:r w:rsidRPr="00BB3D77">
        <w:t>s lent the economy produced $3.6 in total GDP</w:t>
      </w:r>
      <w:r w:rsidR="00D34986">
        <w:t xml:space="preserve"> – </w:t>
      </w:r>
      <w:r w:rsidR="000300A7">
        <w:t xml:space="preserve">thanks in part to the co-investments, client contributions, and matching government funds </w:t>
      </w:r>
      <w:r w:rsidR="006E748D">
        <w:t>IFI</w:t>
      </w:r>
      <w:r w:rsidR="000300A7">
        <w:t>s brought together</w:t>
      </w:r>
      <w:r w:rsidRPr="00BB3D77">
        <w:t>. The total investment also had a total employment impact of more than 12,100 full-time jobs and a total wage impact of more than $514 million.</w:t>
      </w:r>
    </w:p>
    <w:p w14:paraId="7724A98E" w14:textId="10BF58AA" w:rsidR="003867D2" w:rsidRPr="00BB3D77" w:rsidRDefault="003867D2" w:rsidP="003867D2">
      <w:pPr>
        <w:pStyle w:val="Body"/>
      </w:pPr>
      <w:r w:rsidRPr="00BB3D77">
        <w:t xml:space="preserve">Our assessment explored the links between these economic impacts and direct social impacts, including an analysis of community well-being, income equality, and a simulation model of </w:t>
      </w:r>
      <w:r w:rsidR="006E748D">
        <w:t>IFI</w:t>
      </w:r>
      <w:r w:rsidRPr="00BB3D77">
        <w:t>-driven impacts on food security, health, and housing satisfaction.</w:t>
      </w:r>
    </w:p>
    <w:p w14:paraId="5489999B" w14:textId="51CFB2FD" w:rsidR="003867D2" w:rsidRPr="00BB3D77" w:rsidRDefault="003867D2" w:rsidP="003867D2">
      <w:pPr>
        <w:pStyle w:val="Body"/>
      </w:pPr>
      <w:r w:rsidRPr="00BB3D77">
        <w:t xml:space="preserve">In Chapter 2 we profiled the communities </w:t>
      </w:r>
      <w:r w:rsidR="006E748D">
        <w:t>IFI</w:t>
      </w:r>
      <w:r w:rsidRPr="00BB3D77">
        <w:t xml:space="preserve">s serve through the prism of the Community Wellbeing (CWB) index. The CWB index aims to measure and compare the quality of life of First Nation and Inuit communities relative to other communities in Canada – on a scale from 0 (lowest) to 100 (highest). Looking across the 2016 and past CWB indexes, we compared changes to the individual CWB scores of relevant communities where </w:t>
      </w:r>
      <w:r w:rsidR="006E748D">
        <w:t>IFI</w:t>
      </w:r>
      <w:r w:rsidRPr="00BB3D77">
        <w:t xml:space="preserve"> client businesses are located. When applied to NACCA’s administrative dataset </w:t>
      </w:r>
      <w:r w:rsidR="001A7B2C">
        <w:t xml:space="preserve">for ABFP and ADLA </w:t>
      </w:r>
      <w:r w:rsidRPr="00BB3D77">
        <w:t xml:space="preserve">the index reveals the considerable diversity of client communities. </w:t>
      </w:r>
    </w:p>
    <w:p w14:paraId="3DD6B43D" w14:textId="50AC40FD" w:rsidR="003867D2" w:rsidRPr="00BB3D77" w:rsidRDefault="003867D2" w:rsidP="003867D2">
      <w:pPr>
        <w:pStyle w:val="Body"/>
      </w:pPr>
      <w:r w:rsidRPr="00BB3D77">
        <w:t xml:space="preserve">Our analysis revealed that almost half of the population in relevant Indigenous communities that </w:t>
      </w:r>
      <w:r w:rsidR="006E748D">
        <w:t>IFI</w:t>
      </w:r>
      <w:r w:rsidRPr="00BB3D77">
        <w:t>s serve improved their CWB scores by at least six points between 1996 and 2016.  Background research suggests that much of their growing capacity is tied to rising post-secondary graduation rates and incomes.</w:t>
      </w:r>
      <w:r w:rsidR="003952A5">
        <w:rPr>
          <w:rStyle w:val="FootnoteReference"/>
        </w:rPr>
        <w:footnoteReference w:id="80"/>
      </w:r>
      <w:r w:rsidRPr="00BB3D77">
        <w:t xml:space="preserve"> The group of communities underlying these insights includes important success stories that have improved between 16 and 20 points since 1996. For the on-reserve population these are </w:t>
      </w:r>
      <w:r w:rsidR="006E748D">
        <w:t>IFI</w:t>
      </w:r>
      <w:r w:rsidRPr="00BB3D77">
        <w:t xml:space="preserve"> client communities like Wendake, Whitecap Dakota, Fort Mackay, and Enoch Cree First Nation. In the off-reserve context it includes northern communities such as Old Crow in Yukon. Using the CWB index and associated measures from </w:t>
      </w:r>
      <w:r w:rsidRPr="00BB3D77">
        <w:lastRenderedPageBreak/>
        <w:t xml:space="preserve">Statistics Canada can help </w:t>
      </w:r>
      <w:r w:rsidR="006E748D">
        <w:t>IFI</w:t>
      </w:r>
      <w:r w:rsidRPr="00BB3D77">
        <w:t>s and their partners keep track of their client communities’ socio-economic development over time.</w:t>
      </w:r>
    </w:p>
    <w:p w14:paraId="70CD5555" w14:textId="41879B80" w:rsidR="003867D2" w:rsidRPr="00BB3D77" w:rsidRDefault="003867D2" w:rsidP="003867D2">
      <w:pPr>
        <w:pStyle w:val="Body"/>
      </w:pPr>
      <w:r w:rsidRPr="00BB3D77">
        <w:t xml:space="preserve">In Chapter 3 we drew on our economic impact assessment, interviews, and secondary research to explore how </w:t>
      </w:r>
      <w:r w:rsidR="006E748D">
        <w:t>IFI</w:t>
      </w:r>
      <w:r w:rsidRPr="00BB3D77">
        <w:t xml:space="preserve">s achieve social impacts in the communities they serve. </w:t>
      </w:r>
      <w:bookmarkStart w:id="74" w:name="_Hlk132036959"/>
      <w:r w:rsidRPr="00BB3D77">
        <w:t xml:space="preserve">In terms of income equality, </w:t>
      </w:r>
      <w:r w:rsidR="006E748D">
        <w:t>IFI</w:t>
      </w:r>
      <w:r w:rsidRPr="00BB3D77">
        <w:t xml:space="preserve">s were found to support a range of industries where, on average, Indigenous workers earn more than the mean annual employment income of Indigenous peoples reported in the 2021 census ($42k). 52 out of 146 industries directly impacted by </w:t>
      </w:r>
      <w:r w:rsidR="006E748D">
        <w:t>IFI</w:t>
      </w:r>
      <w:r w:rsidRPr="00BB3D77">
        <w:t>−driven investments</w:t>
      </w:r>
      <w:r w:rsidR="00840144">
        <w:t xml:space="preserve"> tied to ABFP</w:t>
      </w:r>
      <w:r w:rsidR="001A7B2C">
        <w:t xml:space="preserve"> and </w:t>
      </w:r>
      <w:r w:rsidR="00840144">
        <w:t>ADLA</w:t>
      </w:r>
      <w:r w:rsidRPr="00BB3D77">
        <w:t xml:space="preserve">, paid their average Indigenous worker an annual employment income greater than the mean employment income reported for non−Indigenous workers in the 2021 census ($50k). However, our analysis also suggested that </w:t>
      </w:r>
      <w:r w:rsidR="006E748D">
        <w:t>IFI</w:t>
      </w:r>
      <w:r w:rsidRPr="00BB3D77">
        <w:t xml:space="preserve">-driven investments have been concentrated in a smaller subset of industries, where average incomes are less than the national means reported in the 2021 census. This dampens the </w:t>
      </w:r>
      <w:r w:rsidR="006E748D">
        <w:t>IFI</w:t>
      </w:r>
      <w:r w:rsidRPr="00BB3D77">
        <w:t>s’ potential to close the income gap between Indigenous and non-Indigenous workers.</w:t>
      </w:r>
    </w:p>
    <w:p w14:paraId="104FA188" w14:textId="2165CDBE" w:rsidR="003867D2" w:rsidRPr="00BB3D77" w:rsidRDefault="003867D2" w:rsidP="003867D2">
      <w:pPr>
        <w:pStyle w:val="Body"/>
      </w:pPr>
      <w:r w:rsidRPr="00BB3D77">
        <w:t xml:space="preserve">The highest average paying jobs that </w:t>
      </w:r>
      <w:r w:rsidR="006E748D">
        <w:t>IFI</w:t>
      </w:r>
      <w:r w:rsidRPr="00BB3D77">
        <w:t xml:space="preserve"> directed investments </w:t>
      </w:r>
      <w:r w:rsidR="00840144">
        <w:t xml:space="preserve">tied to ABPF/ADLA </w:t>
      </w:r>
      <w:r w:rsidRPr="00BB3D77">
        <w:t xml:space="preserve">helped to create from 2016 to 2021 all involved natural resource sectors and utilities including mining, oil and gas, and hydro generation. Not surprisingly, </w:t>
      </w:r>
      <w:r w:rsidR="006E748D">
        <w:t>IFI</w:t>
      </w:r>
      <w:r w:rsidRPr="00BB3D77">
        <w:t>s are working with client communities to increase their participation in and influence over these economic sectors and their supply chains.</w:t>
      </w:r>
    </w:p>
    <w:p w14:paraId="59F4976D" w14:textId="09782040" w:rsidR="003867D2" w:rsidRPr="00BB3D77" w:rsidRDefault="003867D2" w:rsidP="003867D2">
      <w:pPr>
        <w:pStyle w:val="Body"/>
      </w:pPr>
      <w:r w:rsidRPr="00BB3D77">
        <w:t xml:space="preserve">The simulation model presented in Chapter 3 was designed to estimate the relationship between </w:t>
      </w:r>
      <w:r w:rsidR="006E748D">
        <w:t>IFI</w:t>
      </w:r>
      <w:r w:rsidRPr="00BB3D77">
        <w:t xml:space="preserve">-driven employment and indicators of food security, health, mental health, and housing satisfaction for Indigenous peoples living off-reserve. The model reports positive impacts for the types of direct jobs </w:t>
      </w:r>
      <w:r w:rsidR="006E748D">
        <w:t>IFI</w:t>
      </w:r>
      <w:r w:rsidRPr="00BB3D77">
        <w:t xml:space="preserve">-driven investments </w:t>
      </w:r>
      <w:r w:rsidR="00824873">
        <w:t xml:space="preserve">tied to ABFP and ADLA helped </w:t>
      </w:r>
      <w:r w:rsidR="005F7D89">
        <w:t>create.</w:t>
      </w:r>
      <w:r w:rsidRPr="00BB3D77">
        <w:t xml:space="preserve"> Individuals living off-reserve with employment incomes at the levels of </w:t>
      </w:r>
      <w:r w:rsidR="006E748D">
        <w:t>IFI</w:t>
      </w:r>
      <w:r w:rsidRPr="00BB3D77">
        <w:t>-driven direct full-time equivalent (FTE) jobs report consistently higher levels of food security, self-rated health and mental health, and housing satisfaction compared to counterparts from similar backgrounds who are unemployed.</w:t>
      </w:r>
      <w:bookmarkEnd w:id="74"/>
    </w:p>
    <w:p w14:paraId="17621335" w14:textId="6C2A4E1D" w:rsidR="003867D2" w:rsidRPr="00BB3D77" w:rsidRDefault="003867D2" w:rsidP="003867D2">
      <w:pPr>
        <w:pStyle w:val="Body"/>
      </w:pPr>
      <w:r w:rsidRPr="00BB3D77">
        <w:t xml:space="preserve">Lastly, our assessment incorporated qualitative information to showcase diverse </w:t>
      </w:r>
      <w:r w:rsidR="006E748D">
        <w:t>IFI</w:t>
      </w:r>
      <w:r w:rsidRPr="00BB3D77">
        <w:t xml:space="preserve"> efforts to create economic and social change. Fifteen case illustrations presented in Chapter 3 provide insights into the concrete and practical ways that </w:t>
      </w:r>
      <w:r w:rsidR="006E748D">
        <w:t>IFI</w:t>
      </w:r>
      <w:r w:rsidRPr="00BB3D77">
        <w:t xml:space="preserve">s support the economic and social wellbeing of their communities and regions. </w:t>
      </w:r>
    </w:p>
    <w:p w14:paraId="28878D3B" w14:textId="0C8B6966" w:rsidR="003867D2" w:rsidRPr="00BB3D77" w:rsidRDefault="003867D2" w:rsidP="003867D2">
      <w:pPr>
        <w:pStyle w:val="Body"/>
      </w:pPr>
      <w:r w:rsidRPr="00BB3D77">
        <w:t xml:space="preserve">Our showcase revealed how </w:t>
      </w:r>
      <w:r w:rsidR="006E748D">
        <w:t>IFI</w:t>
      </w:r>
      <w:r w:rsidRPr="00BB3D77">
        <w:t xml:space="preserve"> investments have contributed to strengthening Indigenous food security, healthcare, and housing through the specific industries and businesses they target. </w:t>
      </w:r>
      <w:r w:rsidRPr="00BB3D77">
        <w:lastRenderedPageBreak/>
        <w:t xml:space="preserve">From 2016 to 2021 </w:t>
      </w:r>
      <w:r w:rsidR="006E748D">
        <w:t>IFI</w:t>
      </w:r>
      <w:r w:rsidRPr="00BB3D77">
        <w:t xml:space="preserve">-driven investments </w:t>
      </w:r>
      <w:r w:rsidR="00840144">
        <w:t>tied to ABFP</w:t>
      </w:r>
      <w:r w:rsidR="00824873">
        <w:t xml:space="preserve"> and </w:t>
      </w:r>
      <w:r w:rsidR="00840144">
        <w:t xml:space="preserve">ADLA </w:t>
      </w:r>
      <w:r w:rsidRPr="00BB3D77">
        <w:t xml:space="preserve">had a direct GDP impact of more than $212 million on various Indigenous led food production and food services industries; more than $31 million on various health and wellness sectors; and more than $126 million on Indigenous led residential construction and associated sectors. </w:t>
      </w:r>
    </w:p>
    <w:p w14:paraId="7341D404" w14:textId="54EAB769" w:rsidR="003867D2" w:rsidRPr="00BB3D77" w:rsidRDefault="003867D2" w:rsidP="003867D2">
      <w:pPr>
        <w:pStyle w:val="Body"/>
      </w:pPr>
      <w:r w:rsidRPr="00BB3D77">
        <w:t xml:space="preserve">Several key themes stand out from the case illustrations. Each </w:t>
      </w:r>
      <w:r w:rsidR="006E748D">
        <w:t>IFI</w:t>
      </w:r>
      <w:r w:rsidRPr="00BB3D77">
        <w:t xml:space="preserve"> presents a unique portfolio of funding sources, services, clients, and goals. But what unites the majority is their approach to “community-based credit worthiness assessments.”</w:t>
      </w:r>
      <w:r w:rsidRPr="00BB3D77">
        <w:rPr>
          <w:rStyle w:val="FootnoteReference"/>
        </w:rPr>
        <w:footnoteReference w:id="81"/>
      </w:r>
      <w:r w:rsidRPr="00BB3D77">
        <w:t xml:space="preserve"> This community-based approach enables </w:t>
      </w:r>
      <w:r w:rsidR="006E748D">
        <w:t>IFI</w:t>
      </w:r>
      <w:r w:rsidRPr="00BB3D77">
        <w:t>s to see the socio-economic potential obscured by perceived “deficiencies in their clients’ financial situations”</w:t>
      </w:r>
      <w:r w:rsidRPr="00BB3D77">
        <w:rPr>
          <w:rStyle w:val="FootnoteReference"/>
        </w:rPr>
        <w:footnoteReference w:id="82"/>
      </w:r>
      <w:r w:rsidRPr="00BB3D77">
        <w:t xml:space="preserve">. It reveals a social side to </w:t>
      </w:r>
      <w:r w:rsidR="006E748D">
        <w:t>IFI</w:t>
      </w:r>
      <w:r w:rsidRPr="00BB3D77">
        <w:t xml:space="preserve"> work that is fundamental to successful developmental finance.</w:t>
      </w:r>
    </w:p>
    <w:p w14:paraId="3F6F9783" w14:textId="77777777" w:rsidR="003867D2" w:rsidRPr="00BB3D77" w:rsidRDefault="003867D2" w:rsidP="003867D2">
      <w:pPr>
        <w:pStyle w:val="Body"/>
      </w:pPr>
      <w:r w:rsidRPr="00BB3D77">
        <w:t xml:space="preserve">In many of the case illustrations Indigenous entrepreneurs and businesses faced institutional and cultural barriers that restricted their access to capital and financial services. Despite great progress, mainstream financial institutions continue to misunderstand and be apprehensive of the economic, political, and cultural realities of Indigenous communities. Their reluctance or inability to meet Indigenous entrepreneurs where they live creates institutional barriers. </w:t>
      </w:r>
    </w:p>
    <w:p w14:paraId="37145262" w14:textId="77777777" w:rsidR="003867D2" w:rsidRPr="00BB3D77" w:rsidRDefault="003867D2" w:rsidP="003867D2">
      <w:pPr>
        <w:pStyle w:val="Body"/>
      </w:pPr>
      <w:r w:rsidRPr="00BB3D77">
        <w:t>Research in Canada has also identified numerous cultural barriers for Indigenous entrepreneurs including language (the fact that financial service transactions generally occur in English or French), and an entrenched mistrust of financial institutions. The issue of trust has most frequently been associated with perspectives from smaller rural and remote Indigenous communities – communities that frequently have more difficulties accessing reliable financial services. (Echoing findings from our CWB analysis in Chapter 2). </w:t>
      </w:r>
    </w:p>
    <w:p w14:paraId="21A9529E" w14:textId="4C8B4814" w:rsidR="003867D2" w:rsidRPr="00BB3D77" w:rsidRDefault="003867D2" w:rsidP="003867D2">
      <w:pPr>
        <w:pStyle w:val="Body"/>
      </w:pPr>
      <w:r w:rsidRPr="00BB3D77">
        <w:t xml:space="preserve">From across a range of diverse industries, the </w:t>
      </w:r>
      <w:r w:rsidR="006E748D">
        <w:t>IFI</w:t>
      </w:r>
      <w:r w:rsidRPr="00BB3D77">
        <w:t xml:space="preserve">s we showcased helped their clients overcome cultural and institutional barriers to accessing capital. In this regard they looked at their clients’ character, vision, and community context. This approach, which entails meeting people where they live, strengthens their clients’ trust in financial services and helps sharpen their focus on outcomes. It also strengthens their clients’ confidence and belief in themselves. Character-based lending in turn establishes meaningful long-term relationships and a path towards greater self-determination, all based on trust. As our case illustration on housing showed, </w:t>
      </w:r>
      <w:r w:rsidR="006E748D">
        <w:t>IFI</w:t>
      </w:r>
      <w:r w:rsidRPr="00BB3D77">
        <w:t xml:space="preserve">s such as </w:t>
      </w:r>
      <w:r w:rsidRPr="00BB3D77">
        <w:lastRenderedPageBreak/>
        <w:t>SOCCA/ABSCAN have also taken this approach and tailored it to other forms of financing for homebuilding and community infrastructure development.</w:t>
      </w:r>
    </w:p>
    <w:p w14:paraId="77D34924" w14:textId="72551A68" w:rsidR="003867D2" w:rsidRPr="00BB3D77" w:rsidRDefault="003867D2" w:rsidP="003867D2">
      <w:pPr>
        <w:pStyle w:val="Body"/>
      </w:pPr>
      <w:r w:rsidRPr="00BB3D77">
        <w:t>Research in Canada has found that Indigenous communities may interpret entrepreneurship as being “overly individualistic, anti-community, and more of a Western-European government strategy than an Indigenous approach to economic and community development”.</w:t>
      </w:r>
      <w:r w:rsidRPr="00BB3D77">
        <w:rPr>
          <w:rStyle w:val="FootnoteReference"/>
        </w:rPr>
        <w:footnoteReference w:id="83"/>
      </w:r>
      <w:r w:rsidRPr="00BB3D77">
        <w:t xml:space="preserve"> Munnings, a lawyer originally from Curve Lake First Nation (Ontario), critiques the “perceived belief” that entrepreneurship and First Nations cultures are incompatible.</w:t>
      </w:r>
      <w:r w:rsidRPr="00BB3D77">
        <w:rPr>
          <w:rStyle w:val="FootnoteReference"/>
        </w:rPr>
        <w:footnoteReference w:id="84"/>
      </w:r>
      <w:r w:rsidRPr="00BB3D77">
        <w:t xml:space="preserve"> And as the showcased </w:t>
      </w:r>
      <w:r w:rsidR="006E748D">
        <w:t>IFI</w:t>
      </w:r>
      <w:r w:rsidRPr="00BB3D77">
        <w:t>s and their clients have clearly demonstrated, Indigenous communities, families and individuals are developing their own unique visions of entrepreneurship that challenge negative stereotypes both inside and outside their communities. In fact, many Indigenous entrepreneurs have noted that running a business allows them to give back to their communities, thus strengthening their Indigenous identities and community ties rather than weakening them.</w:t>
      </w:r>
      <w:r w:rsidRPr="00BB3D77">
        <w:rPr>
          <w:rStyle w:val="FootnoteReference"/>
        </w:rPr>
        <w:footnoteReference w:id="85"/>
      </w:r>
      <w:r w:rsidRPr="00BB3D77">
        <w:t xml:space="preserve"> This point was emphasized by many of the profiled businesses in Chapter 3 such as Ay Lelum and the Loaf of Bread in BC. </w:t>
      </w:r>
    </w:p>
    <w:p w14:paraId="7FA9F0CC" w14:textId="2DF60B7D" w:rsidR="003867D2" w:rsidRPr="00BB3D77" w:rsidRDefault="006E748D" w:rsidP="003867D2">
      <w:pPr>
        <w:pStyle w:val="Body"/>
      </w:pPr>
      <w:r>
        <w:t>IFI</w:t>
      </w:r>
      <w:r w:rsidR="003867D2" w:rsidRPr="00BB3D77">
        <w:t xml:space="preserve">s help Indigenous communities, families, and individuals find their own unique forms of entrepreneurship to realize visions of better futures that often combine economic and social imperatives. Through their lending and support of various social causes, they are helping to grow the next generation of Indigenous entrepreneurs and community leaders in communities that stand to benefit the most. This in turn helps to strengthen local employment across a range of industries. </w:t>
      </w:r>
    </w:p>
    <w:p w14:paraId="3587B2BA" w14:textId="174309B1" w:rsidR="003867D2" w:rsidRPr="00BB3D77" w:rsidRDefault="003867D2" w:rsidP="003867D2">
      <w:pPr>
        <w:pStyle w:val="Body"/>
      </w:pPr>
      <w:r w:rsidRPr="00BB3D77">
        <w:t xml:space="preserve">In recent years, the notion of a double bottom line has inspired the creation of new frameworks against which to gauge the social performance and social impact of many diverse financial institutions. At the forefront of this movement to assess and understand the social dimensions of finance have been developmental lenders, microfinance institutions, cooperatives, impact investors, and other socially conscious financial institutions.  </w:t>
      </w:r>
      <w:r w:rsidR="006E748D">
        <w:t>IFI</w:t>
      </w:r>
      <w:r w:rsidRPr="00BB3D77">
        <w:t xml:space="preserve">s fall squarely within this community of practice and their work, reaching back over 30 years now, continues to inspire. </w:t>
      </w:r>
    </w:p>
    <w:p w14:paraId="42534892" w14:textId="77777777" w:rsidR="008F62C8" w:rsidRPr="00BB3D77" w:rsidRDefault="008F62C8" w:rsidP="00055436">
      <w:pPr>
        <w:pStyle w:val="Body"/>
      </w:pPr>
    </w:p>
    <w:p w14:paraId="0A7A0510" w14:textId="6DDAA99D" w:rsidR="00C87676" w:rsidRPr="00BB3D77" w:rsidRDefault="00C87676" w:rsidP="00C8327F">
      <w:pPr>
        <w:pStyle w:val="Body"/>
        <w:rPr>
          <w:color w:val="00B3F0"/>
          <w:sz w:val="44"/>
          <w:szCs w:val="44"/>
        </w:rPr>
      </w:pPr>
      <w:r w:rsidRPr="00BB3D77">
        <w:lastRenderedPageBreak/>
        <w:br w:type="page"/>
      </w:r>
    </w:p>
    <w:p w14:paraId="4C6B81B1" w14:textId="776FF9AE" w:rsidR="00C87676" w:rsidRPr="00BB3D77" w:rsidRDefault="00C87676" w:rsidP="00C87676">
      <w:pPr>
        <w:pStyle w:val="Heading1"/>
      </w:pPr>
      <w:bookmarkStart w:id="75" w:name="_Toc136865120"/>
      <w:bookmarkEnd w:id="71"/>
      <w:r w:rsidRPr="00BB3D77">
        <w:lastRenderedPageBreak/>
        <w:t>Appendix</w:t>
      </w:r>
      <w:r w:rsidR="00C52D3C" w:rsidRPr="00BB3D77">
        <w:t xml:space="preserve"> A</w:t>
      </w:r>
      <w:bookmarkEnd w:id="75"/>
    </w:p>
    <w:p w14:paraId="3EAC6E72" w14:textId="3E89E6EA" w:rsidR="00C87676" w:rsidRPr="00BB3D77" w:rsidRDefault="00C87676" w:rsidP="00C87676">
      <w:pPr>
        <w:pStyle w:val="Heading2"/>
      </w:pPr>
      <w:bookmarkStart w:id="76" w:name="_Toc136865121"/>
      <w:r w:rsidRPr="00BB3D77">
        <w:t>Bibliography</w:t>
      </w:r>
      <w:bookmarkEnd w:id="76"/>
    </w:p>
    <w:p w14:paraId="18C91C43" w14:textId="77777777" w:rsidR="005B62AB" w:rsidRPr="005B62AB" w:rsidRDefault="00C173F1" w:rsidP="005B62AB">
      <w:pPr>
        <w:pStyle w:val="Bibliography"/>
      </w:pPr>
      <w:r w:rsidRPr="00BB3D77">
        <w:fldChar w:fldCharType="begin"/>
      </w:r>
      <w:r w:rsidR="006A2A63" w:rsidRPr="00BB3D77">
        <w:instrText xml:space="preserve"> ADDIN ZOTERO_BIBL {"uncited":[],"omitted":[],"custom":[]} CSL_BIBLIOGRAPHY </w:instrText>
      </w:r>
      <w:r w:rsidRPr="00BB3D77">
        <w:fldChar w:fldCharType="separate"/>
      </w:r>
      <w:r w:rsidR="005B62AB" w:rsidRPr="005B62AB">
        <w:t>Asitu’lɨsk. “About Asitu’lisk.” Accessed May 31, 2023. https://www.asitulsk.ca/about/.</w:t>
      </w:r>
    </w:p>
    <w:p w14:paraId="764DFF8B" w14:textId="77777777" w:rsidR="005B62AB" w:rsidRPr="005B62AB" w:rsidRDefault="005B62AB" w:rsidP="005B62AB">
      <w:pPr>
        <w:pStyle w:val="Bibliography"/>
      </w:pPr>
      <w:r w:rsidRPr="005B62AB">
        <w:t>“Agriculture / Live Stock Financing | Indian Business Corporation (IBC).” Accessed August 6, 2022. http://www.indianbc.ca/agriculture.php.</w:t>
      </w:r>
    </w:p>
    <w:p w14:paraId="29516318" w14:textId="77777777" w:rsidR="005B62AB" w:rsidRPr="005B62AB" w:rsidRDefault="005B62AB" w:rsidP="005B62AB">
      <w:pPr>
        <w:pStyle w:val="Bibliography"/>
      </w:pPr>
      <w:r w:rsidRPr="005B62AB">
        <w:t>Anishinabek Agriculture &amp; Food. “Aquaculture (Getigejig Nbiing).” Accessed August 6, 2022. https://anishinabekagriculture.ca/aquaculture/.</w:t>
      </w:r>
    </w:p>
    <w:p w14:paraId="32536344" w14:textId="77777777" w:rsidR="005B62AB" w:rsidRPr="005B62AB" w:rsidRDefault="005B62AB" w:rsidP="005B62AB">
      <w:pPr>
        <w:pStyle w:val="Bibliography"/>
      </w:pPr>
      <w:r w:rsidRPr="005B62AB">
        <w:t>Atuqtuarvik Corporation. “Nunavut Sivuniksavut (NS) Program.” Accessed August 6, 2022. https://atuqtuarvik.com/sites/default/files/ns.pdf.</w:t>
      </w:r>
    </w:p>
    <w:p w14:paraId="4413EF7C" w14:textId="77777777" w:rsidR="005B62AB" w:rsidRPr="005B62AB" w:rsidRDefault="005B62AB" w:rsidP="005B62AB">
      <w:pPr>
        <w:pStyle w:val="Bibliography"/>
      </w:pPr>
      <w:r w:rsidRPr="005B62AB">
        <w:t xml:space="preserve">Bellemare, Andrea. “No Land? No Loan. Why It’s Hard to Borrow Money from a Bank If You Live on Reserve | CBC Radio.” </w:t>
      </w:r>
      <w:r w:rsidRPr="005B62AB">
        <w:rPr>
          <w:i/>
          <w:iCs/>
        </w:rPr>
        <w:t>CBC</w:t>
      </w:r>
      <w:r w:rsidRPr="005B62AB">
        <w:t>, June 25, 2022. https://www.cbc.ca/radio/costofliving/bank-loans-first-nations-land-collateral-1.6499508.</w:t>
      </w:r>
    </w:p>
    <w:p w14:paraId="4BD74256" w14:textId="77777777" w:rsidR="005B62AB" w:rsidRPr="005B62AB" w:rsidRDefault="005B62AB" w:rsidP="005B62AB">
      <w:pPr>
        <w:pStyle w:val="Bibliography"/>
      </w:pPr>
      <w:r w:rsidRPr="005B62AB">
        <w:t xml:space="preserve">Drum, First Nations, April 27, and 2016. “Port Investment in Kitkatla Kitchen and Greenhouse Benefits Skill Development and Community Nutrition.” </w:t>
      </w:r>
      <w:r w:rsidRPr="005B62AB">
        <w:rPr>
          <w:i/>
          <w:iCs/>
        </w:rPr>
        <w:t>First Nations Drum Newspaper</w:t>
      </w:r>
      <w:r w:rsidRPr="005B62AB">
        <w:t>, April 27, 2016. http://www.firstnationsdrum.com/2016/04/port-investment-in-kitkatla-kitchen-and-greenhouse-benefits-skill-development-and-community-nutrition/.</w:t>
      </w:r>
    </w:p>
    <w:p w14:paraId="1C18B25D" w14:textId="77777777" w:rsidR="005B62AB" w:rsidRPr="005B62AB" w:rsidRDefault="005B62AB" w:rsidP="005B62AB">
      <w:pPr>
        <w:pStyle w:val="Bibliography"/>
      </w:pPr>
      <w:r w:rsidRPr="005B62AB">
        <w:t>“First Nation Regeneration Fund | Regenerating Aboriginal Economies.” Accessed August 5, 2022. https://firstnationregenerationfund.wordpress.com/.</w:t>
      </w:r>
    </w:p>
    <w:p w14:paraId="7A7F5A72" w14:textId="77777777" w:rsidR="005B62AB" w:rsidRPr="005B62AB" w:rsidRDefault="005B62AB" w:rsidP="005B62AB">
      <w:pPr>
        <w:pStyle w:val="Bibliography"/>
      </w:pPr>
      <w:r w:rsidRPr="005B62AB">
        <w:t xml:space="preserve">Frohlich, Katherine L., Nancy Ross, and Chantelle Richmond. “Health Disparities in Canada Today: Some Evidence and a Theoretical Framework.” </w:t>
      </w:r>
      <w:r w:rsidRPr="005B62AB">
        <w:rPr>
          <w:i/>
          <w:iCs/>
        </w:rPr>
        <w:t>Health Policy</w:t>
      </w:r>
      <w:r w:rsidRPr="005B62AB">
        <w:t xml:space="preserve"> 79, no. 2–3 (December 2006): 132–43. doi:10.1016/j.healthpol.2005.12.010.</w:t>
      </w:r>
    </w:p>
    <w:p w14:paraId="02BDBE41" w14:textId="77777777" w:rsidR="005B62AB" w:rsidRPr="005B62AB" w:rsidRDefault="005B62AB" w:rsidP="005B62AB">
      <w:pPr>
        <w:pStyle w:val="Bibliography"/>
      </w:pPr>
      <w:r w:rsidRPr="005B62AB">
        <w:t>Government of Canada, Fisheries and Oceans Canada. “Examining the Implementation of Indigenous Commercial Fishing Rights,” October 7, 2021. https://www.dfo-mpo.gc.ca/transparency-transparence/briefing-breffage/2021/livelihood-subsistance-senate-senat-eng.htm.</w:t>
      </w:r>
    </w:p>
    <w:p w14:paraId="44387A63" w14:textId="77777777" w:rsidR="005B62AB" w:rsidRPr="005B62AB" w:rsidRDefault="005B62AB" w:rsidP="005B62AB">
      <w:pPr>
        <w:pStyle w:val="Bibliography"/>
      </w:pPr>
      <w:r w:rsidRPr="005B62AB">
        <w:t>Government of Canada, Statistics Canada. “Core Housing Need, 2016 Census,” November 15, 2017. https://www12.statcan.gc.ca/census-recensement/2016/dp-pd/chn-biml/index-eng.cfm.</w:t>
      </w:r>
    </w:p>
    <w:p w14:paraId="45BBF957" w14:textId="77777777" w:rsidR="005B62AB" w:rsidRPr="005B62AB" w:rsidRDefault="005B62AB" w:rsidP="005B62AB">
      <w:pPr>
        <w:pStyle w:val="Bibliography"/>
      </w:pPr>
      <w:r w:rsidRPr="005B62AB">
        <w:t>———. “Housing Experiences in Canada: Inuit in 2016,” August 15, 2022. https://www150.statcan.gc.ca/n1/pub/46-28-0001/2021001/article/00015-eng.htm.</w:t>
      </w:r>
    </w:p>
    <w:p w14:paraId="57595320" w14:textId="77777777" w:rsidR="005B62AB" w:rsidRPr="005B62AB" w:rsidRDefault="005B62AB" w:rsidP="005B62AB">
      <w:pPr>
        <w:pStyle w:val="Bibliography"/>
      </w:pPr>
      <w:r w:rsidRPr="005B62AB">
        <w:t>———. “Housing Experiences in Canada: Métis in 2016,” August 15, 2022. https://www150.statcan.gc.ca/n1/pub/46-28-0001/2021001/article/00014-eng.htm.</w:t>
      </w:r>
    </w:p>
    <w:p w14:paraId="18D6C845" w14:textId="77777777" w:rsidR="005B62AB" w:rsidRPr="005B62AB" w:rsidRDefault="005B62AB" w:rsidP="005B62AB">
      <w:pPr>
        <w:pStyle w:val="Bibliography"/>
      </w:pPr>
      <w:r w:rsidRPr="005B62AB">
        <w:lastRenderedPageBreak/>
        <w:t>———. “Housing Suitability of Private Household,” July 10, 2013. https://www23.statcan.gc.ca/imdb/p3Var.pl?Function=DEC&amp;Id=100731.</w:t>
      </w:r>
    </w:p>
    <w:p w14:paraId="02CDCA26" w14:textId="77777777" w:rsidR="005B62AB" w:rsidRPr="005B62AB" w:rsidRDefault="005B62AB" w:rsidP="005B62AB">
      <w:pPr>
        <w:pStyle w:val="Bibliography"/>
      </w:pPr>
      <w:r w:rsidRPr="005B62AB">
        <w:t>———. “Index of Remoteness,” April 3, 2020. https://www150.statcan.gc.ca/n1/pub/17-26-0001/172600012020001-eng.htm.</w:t>
      </w:r>
    </w:p>
    <w:p w14:paraId="2BD0C76F" w14:textId="77777777" w:rsidR="005B62AB" w:rsidRPr="005B62AB" w:rsidRDefault="005B62AB" w:rsidP="005B62AB">
      <w:pPr>
        <w:pStyle w:val="Bibliography"/>
      </w:pPr>
      <w:r w:rsidRPr="005B62AB">
        <w:t xml:space="preserve">Haman, François, B Fontaine-Bisson, M Batal, P Imbeault, JM Blais, and MA Robidoux. “Obesity and Type 2 Diabetes in Northern Canada’s Remote First Nations Communities: The Dietary Dilemma.” </w:t>
      </w:r>
      <w:r w:rsidRPr="005B62AB">
        <w:rPr>
          <w:i/>
          <w:iCs/>
        </w:rPr>
        <w:t>International Journal of Obesity</w:t>
      </w:r>
      <w:r w:rsidRPr="005B62AB">
        <w:t xml:space="preserve"> 34, no. S2 (2010): S24.</w:t>
      </w:r>
    </w:p>
    <w:p w14:paraId="037FA693" w14:textId="77777777" w:rsidR="005B62AB" w:rsidRPr="005B62AB" w:rsidRDefault="005B62AB" w:rsidP="005B62AB">
      <w:pPr>
        <w:pStyle w:val="Bibliography"/>
      </w:pPr>
      <w:r w:rsidRPr="005B62AB">
        <w:t>IAPO. “First Nations Agriculture for Seven Generations.” Accessed August 6, 2022. http://indianag.on.ca/wp-content/uploads/2022/04/FN-Ag-7-Gen-Virtual-Flyer.pdf.</w:t>
      </w:r>
    </w:p>
    <w:p w14:paraId="53261730" w14:textId="77777777" w:rsidR="005B62AB" w:rsidRPr="005B62AB" w:rsidRDefault="005B62AB" w:rsidP="005B62AB">
      <w:pPr>
        <w:pStyle w:val="Bibliography"/>
      </w:pPr>
      <w:r w:rsidRPr="005B62AB">
        <w:t xml:space="preserve">———. “IAPO – More than Farm and Agribusiness Financing.” </w:t>
      </w:r>
      <w:r w:rsidRPr="005B62AB">
        <w:rPr>
          <w:i/>
          <w:iCs/>
        </w:rPr>
        <w:t>IAPO</w:t>
      </w:r>
      <w:r w:rsidRPr="005B62AB">
        <w:t>. Accessed August 6, 2022. http://indianag.on.ca/about/.</w:t>
      </w:r>
    </w:p>
    <w:p w14:paraId="775478B5" w14:textId="77777777" w:rsidR="005B62AB" w:rsidRPr="005B62AB" w:rsidRDefault="005B62AB" w:rsidP="005B62AB">
      <w:pPr>
        <w:pStyle w:val="Bibliography"/>
      </w:pPr>
      <w:r w:rsidRPr="005B62AB">
        <w:t>Indigenous Services Canada. “National Overview of the Community Well-Being Index, 1981 to 2016.” Report; statistics, January 24, 2020. https://www.sac-isc.gc.ca/eng/1419864229405/1557324163264.</w:t>
      </w:r>
    </w:p>
    <w:p w14:paraId="7EA7A3A6" w14:textId="77777777" w:rsidR="005B62AB" w:rsidRPr="005B62AB" w:rsidRDefault="005B62AB" w:rsidP="005B62AB">
      <w:pPr>
        <w:pStyle w:val="Bibliography"/>
      </w:pPr>
      <w:r w:rsidRPr="005B62AB">
        <w:t xml:space="preserve">indigenousfisheries.ca. “Aquaponics Project Delivers Fresh, Locally Grown Vegetables and Fish Year Round.” </w:t>
      </w:r>
      <w:r w:rsidRPr="005B62AB">
        <w:rPr>
          <w:i/>
          <w:iCs/>
        </w:rPr>
        <w:t>Compendium of Indigenous Socio-Economic Best Practises in Fisheries and Oceans Sectors</w:t>
      </w:r>
      <w:r w:rsidRPr="005B62AB">
        <w:t>. Accessed August 6, 2022. https://indigenousfisheries.ca/en/wp-content/uploads/2021/04/Aquaponics-Project-Delivers-Fresh-Locally-Grown-Vegetables-and-Fish-Year-Round.pdf.</w:t>
      </w:r>
    </w:p>
    <w:p w14:paraId="003E06BA" w14:textId="77777777" w:rsidR="005B62AB" w:rsidRPr="005B62AB" w:rsidRDefault="005B62AB" w:rsidP="005B62AB">
      <w:pPr>
        <w:pStyle w:val="Bibliography"/>
      </w:pPr>
      <w:r w:rsidRPr="005B62AB">
        <w:t xml:space="preserve">Kant, Shashi, Ilan Vertinsky, Bin Zheng, and Peggy M Smith. “Social, Cultural, and Land Use Determinants of the Health and Well-Being of Aboriginal Peoples of Canada: A Path Analysis.” </w:t>
      </w:r>
      <w:r w:rsidRPr="005B62AB">
        <w:rPr>
          <w:i/>
          <w:iCs/>
        </w:rPr>
        <w:t>Journal of Public Health Policy</w:t>
      </w:r>
      <w:r w:rsidRPr="005B62AB">
        <w:t xml:space="preserve"> 34, no. 3 (August 1, 2013): 462–76. doi:10.1057/jphp.2013.27.</w:t>
      </w:r>
    </w:p>
    <w:p w14:paraId="6694C4F1" w14:textId="77777777" w:rsidR="005B62AB" w:rsidRPr="005B62AB" w:rsidRDefault="005B62AB" w:rsidP="005B62AB">
      <w:pPr>
        <w:pStyle w:val="Bibliography"/>
      </w:pPr>
      <w:r w:rsidRPr="005B62AB">
        <w:t>“LOANS « Native Fishing Association.” Accessed August 6, 2022. https://www.shoal.ca/additional-fishing-information/loans-and-leases/.</w:t>
      </w:r>
    </w:p>
    <w:p w14:paraId="7454344E" w14:textId="77777777" w:rsidR="005B62AB" w:rsidRPr="005B62AB" w:rsidRDefault="005B62AB" w:rsidP="005B62AB">
      <w:pPr>
        <w:pStyle w:val="Bibliography"/>
      </w:pPr>
      <w:r w:rsidRPr="005B62AB">
        <w:t>Munnings, Adam Charles. “A Model for the Development Of Entrepreneurship on First Nation Indian Reserves,” 2014.</w:t>
      </w:r>
    </w:p>
    <w:p w14:paraId="5D678BFF" w14:textId="77777777" w:rsidR="005B62AB" w:rsidRPr="005B62AB" w:rsidRDefault="005B62AB" w:rsidP="005B62AB">
      <w:pPr>
        <w:pStyle w:val="Bibliography"/>
      </w:pPr>
      <w:r w:rsidRPr="005B62AB">
        <w:t>thestar.com. “New, Lucrative First Nations Oyster Farm a Sign of Good Things to Come,” August 31, 2021. https://www.thestar.com/news/canada/2021/08/31/new-lucrative-first-nations-oyster-farm-a-sign-of-good-things-to-come.html.</w:t>
      </w:r>
    </w:p>
    <w:p w14:paraId="6872929F" w14:textId="77777777" w:rsidR="005B62AB" w:rsidRPr="005B62AB" w:rsidRDefault="005B62AB" w:rsidP="005B62AB">
      <w:pPr>
        <w:pStyle w:val="Bibliography"/>
      </w:pPr>
      <w:r w:rsidRPr="005B62AB">
        <w:t>Nickerson, Marcia. “Case Studies in Aboriginal Business,” n.d., 8.</w:t>
      </w:r>
    </w:p>
    <w:p w14:paraId="0E6FC790" w14:textId="77777777" w:rsidR="005B62AB" w:rsidRPr="005B62AB" w:rsidRDefault="005B62AB" w:rsidP="005B62AB">
      <w:pPr>
        <w:pStyle w:val="Bibliography"/>
      </w:pPr>
      <w:r w:rsidRPr="005B62AB">
        <w:t>“OUR STORY « Native Fishing Association.” Accessed August 6, 2022. https://www.shoal.ca/a-success-story/.</w:t>
      </w:r>
    </w:p>
    <w:p w14:paraId="7147A511" w14:textId="77777777" w:rsidR="005B62AB" w:rsidRPr="005B62AB" w:rsidRDefault="005B62AB" w:rsidP="005B62AB">
      <w:pPr>
        <w:pStyle w:val="Bibliography"/>
      </w:pPr>
      <w:r w:rsidRPr="005B62AB">
        <w:t xml:space="preserve">Indigenous Tourism Association of Canada. “Over 600 Indigenous Tourism Businesses Apply for Indigenous Tourism Association of Canada’s COVID-19 Development Stimulus Fund.,” May </w:t>
      </w:r>
      <w:r w:rsidRPr="005B62AB">
        <w:lastRenderedPageBreak/>
        <w:t>1, 2020. https://indigenoustourism.ca/over-600-indigenous-tourism-businesses-apply-for-indigenous-tourism-association-of-canadas-covid-19-development-stimulus-fund/.</w:t>
      </w:r>
    </w:p>
    <w:p w14:paraId="6494817F" w14:textId="77777777" w:rsidR="005B62AB" w:rsidRPr="005B62AB" w:rsidRDefault="005B62AB" w:rsidP="005B62AB">
      <w:pPr>
        <w:pStyle w:val="Bibliography"/>
      </w:pPr>
      <w:r w:rsidRPr="005B62AB">
        <w:t xml:space="preserve">Raphael, Dennis. </w:t>
      </w:r>
      <w:r w:rsidRPr="005B62AB">
        <w:rPr>
          <w:i/>
          <w:iCs/>
        </w:rPr>
        <w:t>Social Determinants of Health: Canadian Perspectives</w:t>
      </w:r>
      <w:r w:rsidRPr="005B62AB">
        <w:t>. Canadian Scholars’ Press, 2009.</w:t>
      </w:r>
    </w:p>
    <w:p w14:paraId="3038DCF3" w14:textId="77777777" w:rsidR="005B62AB" w:rsidRPr="005B62AB" w:rsidRDefault="005B62AB" w:rsidP="005B62AB">
      <w:pPr>
        <w:pStyle w:val="Bibliography"/>
      </w:pPr>
      <w:r w:rsidRPr="005B62AB">
        <w:t xml:space="preserve">Ross, Nancy. “Community Belonging and Health.” </w:t>
      </w:r>
      <w:r w:rsidRPr="005B62AB">
        <w:rPr>
          <w:i/>
          <w:iCs/>
        </w:rPr>
        <w:t>Health Reports</w:t>
      </w:r>
      <w:r w:rsidRPr="005B62AB">
        <w:t xml:space="preserve"> 13, no. 3 (2002): 33.</w:t>
      </w:r>
    </w:p>
    <w:p w14:paraId="10811AC4" w14:textId="77777777" w:rsidR="005B62AB" w:rsidRPr="005B62AB" w:rsidRDefault="005B62AB" w:rsidP="005B62AB">
      <w:pPr>
        <w:pStyle w:val="Bibliography"/>
      </w:pPr>
      <w:r w:rsidRPr="005B62AB">
        <w:t>Northern Ontario Business. “Spotlight: Curve Lake First Nation Aquaculture and Hydroponic Project on the Horizon.” Accessed August 6, 2022. https://www.northernontariobusiness.com/spotlight/curve-lake-first-nation-aquaculture-and-hydroponic-project-on-the-horizon-5436644.</w:t>
      </w:r>
    </w:p>
    <w:p w14:paraId="43EC856E" w14:textId="77777777" w:rsidR="005B62AB" w:rsidRPr="005B62AB" w:rsidRDefault="005B62AB" w:rsidP="005B62AB">
      <w:pPr>
        <w:pStyle w:val="Bibliography"/>
      </w:pPr>
      <w:r w:rsidRPr="005B62AB">
        <w:t xml:space="preserve">Thompson, Amanda. “The Atlin Hydro Project: Making a Meaningful Contribution to Community Health and Well-Being.” </w:t>
      </w:r>
      <w:r w:rsidRPr="005B62AB">
        <w:rPr>
          <w:i/>
          <w:iCs/>
        </w:rPr>
        <w:t>The Conference Board of Canada</w:t>
      </w:r>
      <w:r w:rsidRPr="005B62AB">
        <w:t>. Accessed August 5, 2022. https://conferenceboard.ca/e-library/abstract.aspx?did=10973.</w:t>
      </w:r>
    </w:p>
    <w:p w14:paraId="63C79796" w14:textId="77777777" w:rsidR="005B62AB" w:rsidRPr="005B62AB" w:rsidRDefault="005B62AB" w:rsidP="005B62AB">
      <w:pPr>
        <w:pStyle w:val="Bibliography"/>
      </w:pPr>
      <w:r w:rsidRPr="005B62AB">
        <w:t>Thurston, Zachary, and Jeff Randle. “Housing Experiences in Canada: Status First Nations People in 2016,” 2016, 13.</w:t>
      </w:r>
    </w:p>
    <w:p w14:paraId="7B0F5265" w14:textId="77777777" w:rsidR="005B62AB" w:rsidRPr="005B62AB" w:rsidRDefault="005B62AB" w:rsidP="005B62AB">
      <w:pPr>
        <w:pStyle w:val="Bibliography"/>
      </w:pPr>
      <w:r w:rsidRPr="005B62AB">
        <w:t>Tribal Resources Investment Corporation. “TRICORP Annual Report - Success Stories 2019-2020,” 2020, 20.</w:t>
      </w:r>
    </w:p>
    <w:p w14:paraId="15D8E507" w14:textId="77777777" w:rsidR="005B62AB" w:rsidRPr="005B62AB" w:rsidRDefault="005B62AB" w:rsidP="005B62AB">
      <w:pPr>
        <w:pStyle w:val="Bibliography"/>
      </w:pPr>
      <w:r w:rsidRPr="005B62AB">
        <w:t>“Tuberculosis in Indigenous Communities,” n.d., 2.</w:t>
      </w:r>
    </w:p>
    <w:p w14:paraId="3CD70C98" w14:textId="77777777" w:rsidR="005B62AB" w:rsidRPr="005B62AB" w:rsidRDefault="005B62AB" w:rsidP="005B62AB">
      <w:pPr>
        <w:pStyle w:val="Bibliography"/>
      </w:pPr>
      <w:r w:rsidRPr="005B62AB">
        <w:t>däna Näye Ventures. “Walker Home Construction.” Accessed September 8, 2022. https://dananaye.com/success-story/walker-home-construction/.</w:t>
      </w:r>
    </w:p>
    <w:p w14:paraId="210AEEE6" w14:textId="77777777" w:rsidR="005B62AB" w:rsidRPr="005B62AB" w:rsidRDefault="005B62AB" w:rsidP="005B62AB">
      <w:pPr>
        <w:pStyle w:val="Bibliography"/>
      </w:pPr>
      <w:r w:rsidRPr="005B62AB">
        <w:t>Waubetek Business Development Corporation. “Aboriginal Mining Strategy for North East Ontario.” Accessed August 5, 2022. https://www.waubetek.com/upload/documents/regional-in-mining-/mining_brochure.pdf.</w:t>
      </w:r>
    </w:p>
    <w:p w14:paraId="3B7BB290" w14:textId="77777777" w:rsidR="005B62AB" w:rsidRPr="005B62AB" w:rsidRDefault="005B62AB" w:rsidP="005B62AB">
      <w:pPr>
        <w:pStyle w:val="Bibliography"/>
      </w:pPr>
      <w:r w:rsidRPr="005B62AB">
        <w:t>———. “Waubetek Business Development Corporation - NICFI.” Accessed August 6, 2022. https://www.waubetek.com/nicfi.</w:t>
      </w:r>
    </w:p>
    <w:p w14:paraId="137E2352" w14:textId="77777777" w:rsidR="005B62AB" w:rsidRPr="005B62AB" w:rsidRDefault="005B62AB" w:rsidP="005B62AB">
      <w:pPr>
        <w:pStyle w:val="Bibliography"/>
      </w:pPr>
      <w:r w:rsidRPr="005B62AB">
        <w:t>“Waubetek Business Development Corporation - Aboriginal Mining Initiative.” Accessed August 5, 2022. https://www.waubetek.com/article/aboriginal-mining-initiative-165.asp.</w:t>
      </w:r>
    </w:p>
    <w:p w14:paraId="691DAE91" w14:textId="77777777" w:rsidR="005B62AB" w:rsidRPr="005B62AB" w:rsidRDefault="005B62AB" w:rsidP="005B62AB">
      <w:pPr>
        <w:pStyle w:val="Bibliography"/>
      </w:pPr>
      <w:r w:rsidRPr="005B62AB">
        <w:t>Northern Ontario Business. “Waubetek, Laurentian Sign Agreement for Indigenous Mining Centre.” Accessed August 5, 2022. https://www.northernontariobusiness.com/industry-news/aboriginal-businesses/waubetek-laurentian-sign-agreement-for-indigenous-mining-centre-2135110.</w:t>
      </w:r>
    </w:p>
    <w:p w14:paraId="32BEF034" w14:textId="77777777" w:rsidR="005B62AB" w:rsidRPr="005B62AB" w:rsidRDefault="005B62AB" w:rsidP="005B62AB">
      <w:pPr>
        <w:pStyle w:val="Bibliography"/>
      </w:pPr>
      <w:r w:rsidRPr="005B62AB">
        <w:t xml:space="preserve">Weir, Warren I. </w:t>
      </w:r>
      <w:r w:rsidRPr="005B62AB">
        <w:rPr>
          <w:i/>
          <w:iCs/>
        </w:rPr>
        <w:t>First Nation Small Business and Entrepreneurship in Canada</w:t>
      </w:r>
      <w:r w:rsidRPr="005B62AB">
        <w:t>. National Centre for First Nations Governance, 2007.</w:t>
      </w:r>
    </w:p>
    <w:p w14:paraId="6211DA93" w14:textId="77777777" w:rsidR="005B62AB" w:rsidRPr="005B62AB" w:rsidRDefault="005B62AB" w:rsidP="005B62AB">
      <w:pPr>
        <w:pStyle w:val="Bibliography"/>
      </w:pPr>
      <w:r w:rsidRPr="005B62AB">
        <w:lastRenderedPageBreak/>
        <w:t xml:space="preserve">Wilson, Kathleen. “Therapeutic Landscapes and First Nations Peoples: An Exploration of Culture, Health and Place.” </w:t>
      </w:r>
      <w:r w:rsidRPr="005B62AB">
        <w:rPr>
          <w:i/>
          <w:iCs/>
        </w:rPr>
        <w:t>Health &amp; Place</w:t>
      </w:r>
      <w:r w:rsidRPr="005B62AB">
        <w:t xml:space="preserve"> 9, no. 2 (June 1, 2003): 83–93. doi:10.1016/S1353-8292(02)00016-3.</w:t>
      </w:r>
    </w:p>
    <w:p w14:paraId="11C1453D" w14:textId="4A19EB11" w:rsidR="00C87676" w:rsidRDefault="00C173F1">
      <w:pPr>
        <w:spacing w:after="160" w:line="259" w:lineRule="auto"/>
        <w:rPr>
          <w:b/>
          <w:bCs w:val="0"/>
          <w:color w:val="1A4798"/>
          <w:sz w:val="36"/>
          <w:szCs w:val="36"/>
          <w:lang w:val="en-CA"/>
        </w:rPr>
      </w:pPr>
      <w:r w:rsidRPr="00BB3D77">
        <w:fldChar w:fldCharType="end"/>
      </w:r>
      <w:r w:rsidR="00C87676">
        <w:br w:type="page"/>
      </w:r>
    </w:p>
    <w:p w14:paraId="631BEA1E" w14:textId="77777777" w:rsidR="00C87676" w:rsidRPr="00C87676" w:rsidRDefault="00C87676" w:rsidP="00C87676">
      <w:pPr>
        <w:pStyle w:val="Heading2"/>
        <w:sectPr w:rsidR="00C87676" w:rsidRPr="00C87676" w:rsidSect="002D3626">
          <w:pgSz w:w="12240" w:h="15840"/>
          <w:pgMar w:top="1440" w:right="1440" w:bottom="1440" w:left="1440" w:header="709" w:footer="709" w:gutter="0"/>
          <w:cols w:space="708"/>
          <w:docGrid w:linePitch="360"/>
        </w:sectPr>
      </w:pPr>
    </w:p>
    <w:p w14:paraId="37119EB5" w14:textId="1BF681FB" w:rsidR="00CF0E43" w:rsidRPr="00CF0E43" w:rsidRDefault="00CF0E43" w:rsidP="00C87676">
      <w:pPr>
        <w:pStyle w:val="Heading1"/>
      </w:pPr>
    </w:p>
    <w:sectPr w:rsidR="00CF0E43" w:rsidRPr="00CF0E43">
      <w:headerReference w:type="default" r:id="rId24"/>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90F2" w14:textId="77777777" w:rsidR="00983321" w:rsidRDefault="00983321" w:rsidP="00CC6358">
      <w:pPr>
        <w:spacing w:after="0" w:line="240" w:lineRule="auto"/>
      </w:pPr>
      <w:r>
        <w:separator/>
      </w:r>
    </w:p>
    <w:p w14:paraId="42087B8A" w14:textId="77777777" w:rsidR="00983321" w:rsidRDefault="00983321"/>
  </w:endnote>
  <w:endnote w:type="continuationSeparator" w:id="0">
    <w:p w14:paraId="5215524A" w14:textId="77777777" w:rsidR="00983321" w:rsidRDefault="00983321" w:rsidP="00CC6358">
      <w:pPr>
        <w:spacing w:after="0" w:line="240" w:lineRule="auto"/>
      </w:pPr>
      <w:r>
        <w:continuationSeparator/>
      </w:r>
    </w:p>
    <w:p w14:paraId="1702CDAE" w14:textId="77777777" w:rsidR="00983321" w:rsidRDefault="00983321"/>
  </w:endnote>
  <w:endnote w:type="continuationNotice" w:id="1">
    <w:p w14:paraId="53716377" w14:textId="77777777" w:rsidR="00983321" w:rsidRDefault="00983321">
      <w:pPr>
        <w:spacing w:after="0" w:line="240" w:lineRule="auto"/>
      </w:pPr>
    </w:p>
    <w:p w14:paraId="4001AC83" w14:textId="77777777" w:rsidR="00983321" w:rsidRDefault="00983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 LT Std">
    <w:altName w:val="Arial"/>
    <w:panose1 w:val="00000000000000000000"/>
    <w:charset w:val="00"/>
    <w:family w:val="swiss"/>
    <w:notTrueType/>
    <w:pitch w:val="variable"/>
    <w:sig w:usb0="00000001"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190065"/>
      <w:docPartObj>
        <w:docPartGallery w:val="Page Numbers (Bottom of Page)"/>
        <w:docPartUnique/>
      </w:docPartObj>
    </w:sdtPr>
    <w:sdtContent>
      <w:p w14:paraId="0929F93F" w14:textId="3F83FB23" w:rsidR="00F81046" w:rsidRDefault="00F81046" w:rsidP="00460D87">
        <w:pPr>
          <w:framePr w:wrap="none" w:vAnchor="text" w:hAnchor="margin" w:xAlign="right" w:y="1"/>
        </w:pPr>
        <w:r>
          <w:fldChar w:fldCharType="begin"/>
        </w:r>
        <w:r>
          <w:instrText xml:space="preserve"> PAGE </w:instrText>
        </w:r>
        <w:r>
          <w:fldChar w:fldCharType="separate"/>
        </w:r>
        <w:r w:rsidR="00E74105">
          <w:rPr>
            <w:noProof/>
          </w:rPr>
          <w:t>4</w:t>
        </w:r>
        <w:r>
          <w:fldChar w:fldCharType="end"/>
        </w:r>
      </w:p>
    </w:sdtContent>
  </w:sdt>
  <w:p w14:paraId="2650E9E7" w14:textId="77777777" w:rsidR="00F81046" w:rsidRDefault="00F81046" w:rsidP="0017190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385180"/>
      <w:docPartObj>
        <w:docPartGallery w:val="Page Numbers (Bottom of Page)"/>
        <w:docPartUnique/>
      </w:docPartObj>
    </w:sdtPr>
    <w:sdtEndPr>
      <w:rPr>
        <w:noProof/>
      </w:rPr>
    </w:sdtEndPr>
    <w:sdtContent>
      <w:p w14:paraId="7C419E97" w14:textId="21F53483" w:rsidR="00F81046" w:rsidRDefault="00F81046" w:rsidP="00D515E4">
        <w:pPr>
          <w:pStyle w:val="Footer"/>
        </w:pPr>
        <w:r>
          <w:fldChar w:fldCharType="begin"/>
        </w:r>
        <w:r>
          <w:instrText xml:space="preserve"> PAGE   \* MERGEFORMAT </w:instrText>
        </w:r>
        <w:r>
          <w:fldChar w:fldCharType="separate"/>
        </w:r>
        <w:r w:rsidR="00763732">
          <w:rPr>
            <w:noProof/>
          </w:rPr>
          <w:t>34</w:t>
        </w:r>
        <w:r>
          <w:rPr>
            <w:noProof/>
          </w:rPr>
          <w:fldChar w:fldCharType="end"/>
        </w:r>
      </w:p>
    </w:sdtContent>
  </w:sdt>
  <w:p w14:paraId="04248BB4" w14:textId="21D40F22" w:rsidR="00F81046" w:rsidRDefault="00F81046" w:rsidP="00171904">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1256278"/>
      <w:docPartObj>
        <w:docPartGallery w:val="Page Numbers (Bottom of Page)"/>
        <w:docPartUnique/>
      </w:docPartObj>
    </w:sdtPr>
    <w:sdtContent>
      <w:p w14:paraId="3F0FA67E" w14:textId="231C364B" w:rsidR="00F81046" w:rsidRDefault="00F81046" w:rsidP="00D515E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F599C6A" w14:textId="77777777" w:rsidR="00F81046" w:rsidRDefault="00F81046" w:rsidP="00D515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D081" w14:textId="77777777" w:rsidR="00F81046" w:rsidRDefault="00F81046">
    <w:r>
      <w:rPr>
        <w:noProof/>
      </w:rPr>
      <w:drawing>
        <wp:anchor distT="0" distB="0" distL="114300" distR="114300" simplePos="0" relativeHeight="251658241" behindDoc="1" locked="1" layoutInCell="1" allowOverlap="0" wp14:anchorId="38DBD0FC" wp14:editId="50C07BF5">
          <wp:simplePos x="0" y="0"/>
          <wp:positionH relativeFrom="page">
            <wp:posOffset>914400</wp:posOffset>
          </wp:positionH>
          <wp:positionV relativeFrom="page">
            <wp:posOffset>9448165</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153_Custom-Report_EN-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A3DA" w14:textId="77777777" w:rsidR="00983321" w:rsidRDefault="00983321" w:rsidP="00CC6358">
      <w:pPr>
        <w:spacing w:after="0" w:line="240" w:lineRule="auto"/>
      </w:pPr>
      <w:r>
        <w:separator/>
      </w:r>
    </w:p>
    <w:p w14:paraId="7A27C1A7" w14:textId="77777777" w:rsidR="00983321" w:rsidRDefault="00983321"/>
  </w:footnote>
  <w:footnote w:type="continuationSeparator" w:id="0">
    <w:p w14:paraId="5B31DAD0" w14:textId="77777777" w:rsidR="00983321" w:rsidRDefault="00983321" w:rsidP="00CC6358">
      <w:pPr>
        <w:spacing w:after="0" w:line="240" w:lineRule="auto"/>
      </w:pPr>
      <w:r>
        <w:continuationSeparator/>
      </w:r>
    </w:p>
    <w:p w14:paraId="22A44EDB" w14:textId="77777777" w:rsidR="00983321" w:rsidRDefault="00983321"/>
  </w:footnote>
  <w:footnote w:type="continuationNotice" w:id="1">
    <w:p w14:paraId="729B8F85" w14:textId="77777777" w:rsidR="00983321" w:rsidRDefault="00983321">
      <w:pPr>
        <w:spacing w:after="0" w:line="240" w:lineRule="auto"/>
      </w:pPr>
    </w:p>
    <w:p w14:paraId="54DDD814" w14:textId="77777777" w:rsidR="00983321" w:rsidRDefault="00983321"/>
  </w:footnote>
  <w:footnote w:id="2">
    <w:p w14:paraId="6EE6EBB1" w14:textId="77777777" w:rsidR="00076BDC" w:rsidRPr="008847EC" w:rsidRDefault="00076BDC" w:rsidP="00D515E4">
      <w:pPr>
        <w:pStyle w:val="FootnoteText"/>
        <w:rPr>
          <w:lang w:val="en-CA"/>
        </w:rPr>
      </w:pPr>
      <w:r>
        <w:rPr>
          <w:rStyle w:val="FootnoteReference"/>
        </w:rPr>
        <w:footnoteRef/>
      </w:r>
      <w:r>
        <w:t xml:space="preserve"> </w:t>
      </w:r>
      <w:r w:rsidRPr="008847EC">
        <w:t>Aboriginal Business Financing Program (ABFP) and Aboriginal Developmental Lending Assistance (ADLA)</w:t>
      </w:r>
      <w:r>
        <w:t>.</w:t>
      </w:r>
    </w:p>
  </w:footnote>
  <w:footnote w:id="3">
    <w:p w14:paraId="04B6BACD" w14:textId="2C88204C" w:rsidR="00BD6142" w:rsidRPr="00BD6142" w:rsidRDefault="00BD6142" w:rsidP="00D515E4">
      <w:pPr>
        <w:pStyle w:val="Footnotes"/>
        <w:rPr>
          <w:lang w:val="en-CA"/>
        </w:rPr>
      </w:pPr>
      <w:r>
        <w:rPr>
          <w:rStyle w:val="FootnoteReference"/>
        </w:rPr>
        <w:footnoteRef/>
      </w:r>
      <w:r>
        <w:t xml:space="preserve"> </w:t>
      </w:r>
      <w:r>
        <w:rPr>
          <w:lang w:val="en-CA"/>
        </w:rPr>
        <w:t>Investments reported in 2020 constant dollars.</w:t>
      </w:r>
    </w:p>
  </w:footnote>
  <w:footnote w:id="4">
    <w:p w14:paraId="1FBDA3E3" w14:textId="77777777" w:rsidR="0045749B" w:rsidRPr="003B2E65" w:rsidRDefault="0045749B" w:rsidP="00D515E4">
      <w:pPr>
        <w:pStyle w:val="Footnotes"/>
      </w:pPr>
      <w:r>
        <w:rPr>
          <w:rStyle w:val="FootnoteReference"/>
        </w:rPr>
        <w:footnoteRef/>
      </w:r>
      <w:r>
        <w:t xml:space="preserve"> </w:t>
      </w:r>
      <w:r w:rsidRPr="003B2E65">
        <w:t>Simple multipliers capture the sum of direct and indirect impacts.</w:t>
      </w:r>
      <w:r>
        <w:t xml:space="preserve"> </w:t>
      </w:r>
      <w:r w:rsidRPr="003B2E65">
        <w:t>They are based on the assumption that households are exogenous and that there is no feedback between wages and production.</w:t>
      </w:r>
    </w:p>
  </w:footnote>
  <w:footnote w:id="5">
    <w:p w14:paraId="49450B31" w14:textId="5463AC6E" w:rsidR="0045749B" w:rsidRPr="003B2E65" w:rsidRDefault="0045749B" w:rsidP="00D515E4">
      <w:pPr>
        <w:pStyle w:val="Footnotes"/>
      </w:pPr>
      <w:r>
        <w:rPr>
          <w:rStyle w:val="FootnoteReference"/>
        </w:rPr>
        <w:footnoteRef/>
      </w:r>
      <w:r>
        <w:t xml:space="preserve"> </w:t>
      </w:r>
      <w:r w:rsidRPr="003B2E65">
        <w:t xml:space="preserve">Total multipliers capture the sum of direct, </w:t>
      </w:r>
      <w:r w:rsidR="003F23BD" w:rsidRPr="003B2E65">
        <w:t>indirect,</w:t>
      </w:r>
      <w:r w:rsidRPr="003B2E65">
        <w:t xml:space="preserve"> and induced impacts. Households are treated as endogenous and the payments for labour services, i.e.</w:t>
      </w:r>
      <w:r w:rsidR="006E748D">
        <w:t>,</w:t>
      </w:r>
      <w:r w:rsidRPr="003B2E65">
        <w:t xml:space="preserve"> wages, are redirected in the economy through consumer expenditures.</w:t>
      </w:r>
    </w:p>
  </w:footnote>
  <w:footnote w:id="6">
    <w:p w14:paraId="34CB6C20" w14:textId="40476F0D" w:rsidR="001D15CF" w:rsidRPr="001D15CF" w:rsidRDefault="001D15CF" w:rsidP="00D515E4">
      <w:pPr>
        <w:pStyle w:val="Footnotes"/>
        <w:rPr>
          <w:lang w:val="en-CA"/>
        </w:rPr>
      </w:pPr>
      <w:r>
        <w:rPr>
          <w:rStyle w:val="FootnoteReference"/>
        </w:rPr>
        <w:footnoteRef/>
      </w:r>
      <w:r>
        <w:t xml:space="preserve"> </w:t>
      </w:r>
      <w:r w:rsidR="000679B4">
        <w:t>F</w:t>
      </w:r>
      <w:r w:rsidR="004B57D2">
        <w:t>ull time equivalent job</w:t>
      </w:r>
      <w:r w:rsidR="000679B4">
        <w:t>s</w:t>
      </w:r>
      <w:r w:rsidR="004B57D2">
        <w:t xml:space="preserve"> </w:t>
      </w:r>
      <w:r w:rsidR="003F42BF">
        <w:t>are</w:t>
      </w:r>
      <w:r w:rsidR="004B57D2">
        <w:t xml:space="preserve"> </w:t>
      </w:r>
      <w:r w:rsidR="000679B4">
        <w:t xml:space="preserve">defined as </w:t>
      </w:r>
      <w:r w:rsidRPr="001D15CF">
        <w:t xml:space="preserve">total hours worked divided by average annual hours worked in full-time jobs. </w:t>
      </w:r>
    </w:p>
  </w:footnote>
  <w:footnote w:id="7">
    <w:p w14:paraId="226B8055" w14:textId="77777777" w:rsidR="00100AC2" w:rsidRPr="00100AC2" w:rsidRDefault="00100AC2" w:rsidP="00D515E4">
      <w:pPr>
        <w:pStyle w:val="Footnotes"/>
        <w:rPr>
          <w:lang w:val="en-CA"/>
        </w:rPr>
      </w:pPr>
      <w:r>
        <w:rPr>
          <w:rStyle w:val="FootnoteReference"/>
        </w:rPr>
        <w:footnoteRef/>
      </w:r>
      <w:r>
        <w:t xml:space="preserve"> N</w:t>
      </w:r>
      <w:r w:rsidRPr="00100AC2">
        <w:t>ow split into Indigenous Services Canada and Crown-Indigenous Relations and Northern Affairs Canada</w:t>
      </w:r>
      <w:r>
        <w:t>.</w:t>
      </w:r>
    </w:p>
  </w:footnote>
  <w:footnote w:id="8">
    <w:p w14:paraId="350FCCA1" w14:textId="3A6FCE55" w:rsidR="004F32F0" w:rsidRPr="004F32F0" w:rsidRDefault="004F32F0" w:rsidP="00D515E4">
      <w:pPr>
        <w:pStyle w:val="Footnotes"/>
        <w:rPr>
          <w:lang w:val="en-CA"/>
        </w:rPr>
      </w:pPr>
      <w:r>
        <w:rPr>
          <w:rStyle w:val="FootnoteReference"/>
        </w:rPr>
        <w:footnoteRef/>
      </w:r>
      <w:r>
        <w:t xml:space="preserve"> </w:t>
      </w:r>
      <w:r w:rsidRPr="00D20AFF">
        <w:t>Scores for 1986 were not calculated due to missing data on housing conditions.</w:t>
      </w:r>
    </w:p>
  </w:footnote>
  <w:footnote w:id="9">
    <w:p w14:paraId="7D413C39" w14:textId="77777777" w:rsidR="008B035C" w:rsidRPr="00CA11CB" w:rsidRDefault="008B035C" w:rsidP="00D515E4">
      <w:pPr>
        <w:pStyle w:val="Footnotes"/>
      </w:pPr>
      <w:r w:rsidRPr="00CA11CB">
        <w:rPr>
          <w:rStyle w:val="FootnoteReference"/>
          <w:rFonts w:asciiTheme="minorHAnsi" w:hAnsiTheme="minorHAnsi" w:cstheme="minorHAnsi"/>
          <w:szCs w:val="18"/>
        </w:rPr>
        <w:footnoteRef/>
      </w:r>
      <w:r w:rsidRPr="00CA11CB">
        <w:t xml:space="preserve"> There are eight community types that are legally affiliated with Indian bands: Indian Reserve, Indian Settlements, Indian Government District, Terres réservées aux Cris, Terres réservées aux Naskapis, Nisga’a Village, Nisga’a land and Teslin Land</w:t>
      </w:r>
    </w:p>
  </w:footnote>
  <w:footnote w:id="10">
    <w:p w14:paraId="4AB040CE" w14:textId="77777777" w:rsidR="008B035C" w:rsidRPr="00CA11CB" w:rsidRDefault="008B035C" w:rsidP="00D515E4">
      <w:pPr>
        <w:pStyle w:val="Footnotes"/>
      </w:pPr>
      <w:r w:rsidRPr="00CA11CB">
        <w:rPr>
          <w:rStyle w:val="FootnoteReference"/>
          <w:rFonts w:asciiTheme="minorHAnsi" w:hAnsiTheme="minorHAnsi" w:cstheme="minorHAnsi"/>
          <w:szCs w:val="18"/>
        </w:rPr>
        <w:footnoteRef/>
      </w:r>
      <w:r w:rsidRPr="00CA11CB">
        <w:t xml:space="preserve"> </w:t>
      </w:r>
      <w:r>
        <w:t>See</w:t>
      </w:r>
      <w:r w:rsidRPr="00CA11CB">
        <w:t>: http://www.aadnc-aandc.gc.ca/eng/1345828176385/1345828236726#chp4</w:t>
      </w:r>
    </w:p>
    <w:p w14:paraId="66B30077" w14:textId="77777777" w:rsidR="008B035C" w:rsidRPr="00CA11CB" w:rsidRDefault="008B035C" w:rsidP="00D515E4">
      <w:pPr>
        <w:pStyle w:val="Footnotes"/>
      </w:pPr>
    </w:p>
  </w:footnote>
  <w:footnote w:id="11">
    <w:p w14:paraId="7C25C911" w14:textId="77777777" w:rsidR="008B035C" w:rsidRPr="00C153C0" w:rsidRDefault="008B035C" w:rsidP="00D515E4">
      <w:pPr>
        <w:pStyle w:val="Footnotes"/>
      </w:pPr>
      <w:r w:rsidRPr="00F94989">
        <w:rPr>
          <w:rStyle w:val="FootnoteReference"/>
        </w:rPr>
        <w:footnoteRef/>
      </w:r>
      <w:r w:rsidRPr="00C153C0">
        <w:t xml:space="preserve"> All methodological details come from: http://www.aadnc-aandc.gc.ca/eng/1100100016585/1100100016598</w:t>
      </w:r>
    </w:p>
  </w:footnote>
  <w:footnote w:id="12">
    <w:p w14:paraId="69F2EE8E" w14:textId="19DD5556" w:rsidR="00BD4327" w:rsidRPr="00BD4327" w:rsidRDefault="00BD4327" w:rsidP="00D515E4">
      <w:pPr>
        <w:pStyle w:val="FootnoteText"/>
        <w:rPr>
          <w:lang w:val="en-CA"/>
        </w:rPr>
      </w:pPr>
      <w:r>
        <w:rPr>
          <w:rStyle w:val="FootnoteReference"/>
        </w:rPr>
        <w:footnoteRef/>
      </w:r>
      <w:r>
        <w:t xml:space="preserve"> </w:t>
      </w:r>
      <w:r w:rsidRPr="00BD4327">
        <w:rPr>
          <w:rStyle w:val="FootnotesChar"/>
        </w:rPr>
        <w:t>The education component prior to 2006 was based partly on functional literacy using data that were available between 1981 and 2001. These data are no longer available starting from the 2006 census, and, as the CWB needs to be consistent across time periods, the methodology changed.</w:t>
      </w:r>
    </w:p>
  </w:footnote>
  <w:footnote w:id="13">
    <w:p w14:paraId="3730A956" w14:textId="5D5E1AE9" w:rsidR="00AF4C94" w:rsidRPr="00AF4C94" w:rsidRDefault="00AF4C94" w:rsidP="00D515E4">
      <w:pPr>
        <w:pStyle w:val="FootnoteText"/>
        <w:rPr>
          <w:lang w:val="en-CA"/>
        </w:rPr>
      </w:pPr>
      <w:r>
        <w:rPr>
          <w:rStyle w:val="FootnoteReference"/>
        </w:rPr>
        <w:footnoteRef/>
      </w:r>
      <w:r>
        <w:t xml:space="preserve"> The transformation helps moderate the</w:t>
      </w:r>
      <w:r w:rsidRPr="00D20AFF">
        <w:t xml:space="preserve"> diminishing marginal returns to income.</w:t>
      </w:r>
    </w:p>
  </w:footnote>
  <w:footnote w:id="14">
    <w:p w14:paraId="42A4F347" w14:textId="10E30996" w:rsidR="00EF3E31" w:rsidRPr="00EF3E31" w:rsidRDefault="00EF3E31" w:rsidP="00D515E4">
      <w:pPr>
        <w:pStyle w:val="FootnoteText"/>
        <w:rPr>
          <w:lang w:val="en-CA"/>
        </w:rPr>
      </w:pPr>
      <w:r>
        <w:rPr>
          <w:rStyle w:val="FootnoteReference"/>
        </w:rPr>
        <w:footnoteRef/>
      </w:r>
      <w:r>
        <w:t xml:space="preserve"> </w:t>
      </w:r>
      <w:r>
        <w:fldChar w:fldCharType="begin"/>
      </w:r>
      <w:r w:rsidR="003952A5">
        <w:instrText xml:space="preserve"> ADDIN ZOTERO_ITEM CSL_CITATION {"citationID":"w0fqIvnt","properties":{"formattedCitation":"Government of Canada, \\uc0\\u8220{}Index of Remoteness.\\uc0\\u8221{}","plainCitation":"Government of Canada, “Index of Remoteness.”","noteIndex":14},"citationItems":[{"id":15318,"uris":["http://zotero.org/users/2949335/items/ZW7TVV3B"],"itemData":{"id":15318,"type":"webpage","abstract":"Geographic proximity to service centres and population centres is an important determinant of socio-economic and health outcomes. Consequently, it is a relevant dimension in the analysis and delivery of policies and programs. To measure this dimension, Statistics Canada developed an Index of Remoteness of communities. For each populated community (census subdivision), the index is determined by its distance to all the population centres defined by Statistics Canada in a given travel radius, as well as their population size.","language":"eng","note":"Last Modified: 2020-04-03","title":"Index of Remoteness","URL":"https://www150.statcan.gc.ca/n1/pub/17-26-0001/172600012020001-eng.htm","author":[{"family":"Government of Canada","given":"Statistics Canada"}],"accessed":{"date-parts":[["2022",9,7]]},"issued":{"date-parts":[["2020",4,3]]}}}],"schema":"https://github.com/citation-style-language/schema/raw/master/csl-citation.json"} </w:instrText>
      </w:r>
      <w:r>
        <w:fldChar w:fldCharType="separate"/>
      </w:r>
      <w:r w:rsidRPr="00EF3E31">
        <w:rPr>
          <w:szCs w:val="24"/>
        </w:rPr>
        <w:t>Government of Canada, “Index of Remoteness.”</w:t>
      </w:r>
      <w:r>
        <w:fldChar w:fldCharType="end"/>
      </w:r>
    </w:p>
  </w:footnote>
  <w:footnote w:id="15">
    <w:p w14:paraId="659F269B" w14:textId="45888341" w:rsidR="001634DE" w:rsidRPr="00743DF5" w:rsidRDefault="001634DE" w:rsidP="00D515E4">
      <w:pPr>
        <w:pStyle w:val="FootnoteText"/>
        <w:rPr>
          <w:lang w:val="en-CA"/>
        </w:rPr>
      </w:pPr>
      <w:r>
        <w:rPr>
          <w:rStyle w:val="FootnoteReference"/>
        </w:rPr>
        <w:footnoteRef/>
      </w:r>
      <w:r>
        <w:t xml:space="preserve"> </w:t>
      </w:r>
      <w:r>
        <w:fldChar w:fldCharType="begin"/>
      </w:r>
      <w:r w:rsidR="003952A5">
        <w:instrText xml:space="preserve"> ADDIN ZOTERO_ITEM CSL_CITATION {"citationID":"WLpWS0IJ","properties":{"formattedCitation":"Ibid.","plainCitation":"Ibid.","noteIndex":15},"citationItems":[{"id":15318,"uris":["http://zotero.org/users/2949335/items/ZW7TVV3B"],"itemData":{"id":15318,"type":"webpage","abstract":"Geographic proximity to service centres and population centres is an important determinant of socio-economic and health outcomes. Consequently, it is a relevant dimension in the analysis and delivery of policies and programs. To measure this dimension, Statistics Canada developed an Index of Remoteness of communities. For each populated community (census subdivision), the index is determined by its distance to all the population centres defined by Statistics Canada in a given travel radius, as well as their population size.","language":"eng","note":"Last Modified: 2020-04-03","title":"Index of Remoteness","URL":"https://www150.statcan.gc.ca/n1/pub/17-26-0001/172600012020001-eng.htm","author":[{"family":"Government of Canada","given":"Statistics Canada"}],"accessed":{"date-parts":[["2022",9,7]]},"issued":{"date-parts":[["2020",4,3]]}}}],"schema":"https://github.com/citation-style-language/schema/raw/master/csl-citation.json"} </w:instrText>
      </w:r>
      <w:r>
        <w:fldChar w:fldCharType="separate"/>
      </w:r>
      <w:r w:rsidRPr="00743DF5">
        <w:t>Ibid.</w:t>
      </w:r>
      <w:r>
        <w:fldChar w:fldCharType="end"/>
      </w:r>
    </w:p>
  </w:footnote>
  <w:footnote w:id="16">
    <w:p w14:paraId="26F82A9B" w14:textId="4317AA1D" w:rsidR="006111A6" w:rsidRPr="006111A6" w:rsidRDefault="006111A6" w:rsidP="00D515E4">
      <w:pPr>
        <w:pStyle w:val="FootnoteText"/>
        <w:rPr>
          <w:lang w:val="en-CA"/>
        </w:rPr>
      </w:pPr>
      <w:r>
        <w:rPr>
          <w:rStyle w:val="FootnoteReference"/>
        </w:rPr>
        <w:footnoteRef/>
      </w:r>
      <w:r>
        <w:t xml:space="preserve"> </w:t>
      </w:r>
      <w:r w:rsidR="00771366">
        <w:t>As of this writing, t</w:t>
      </w:r>
      <w:r w:rsidRPr="006111A6">
        <w:t>he current version of the Remoteness Index suite uses 2016 census population counts and geographical boundaries for all census subdivisions in Canada. The method used to compute the index is “based on the principle of a gravity model, in which both the proximity to and size of population centres are used in the estimates. The distances used in the estimates are determined by road network travel distances within a given radius that permits for daily interaction.”</w:t>
      </w:r>
      <w:r w:rsidR="00C278AE">
        <w:t xml:space="preserve"> Ibid.</w:t>
      </w:r>
    </w:p>
  </w:footnote>
  <w:footnote w:id="17">
    <w:p w14:paraId="509F8A56" w14:textId="574C8825" w:rsidR="008B035C" w:rsidRPr="00CF13B8" w:rsidRDefault="008B035C" w:rsidP="00D515E4">
      <w:pPr>
        <w:pStyle w:val="Footnotes"/>
        <w:rPr>
          <w:lang w:val="en-CA"/>
        </w:rPr>
      </w:pPr>
      <w:r>
        <w:rPr>
          <w:rStyle w:val="FootnoteReference"/>
        </w:rPr>
        <w:footnoteRef/>
      </w:r>
      <w:r>
        <w:t xml:space="preserve"> </w:t>
      </w:r>
      <w:r>
        <w:fldChar w:fldCharType="begin"/>
      </w:r>
      <w:r w:rsidR="005B62AB">
        <w:instrText xml:space="preserve"> ADDIN ZOTERO_ITEM CSL_CITATION {"citationID":"lzZV5SCl","properties":{"formattedCitation":"Indigenous Services Canada, \\uc0\\u8220{}National Overview of the Community Well-Being Index, 1981 to 2016.\\uc0\\u8221{}","plainCitation":"Indigenous Services Canada, “National Overview of the Community Well-Being Index, 1981 to 2016.”","noteIndex":17},"citationItems":[{"id":10328,"uris":["http://zotero.org/users/2949335/items/5EIRJ4RG"],"itemData":{"id":10328,"type":"webpage","abstract":"The Community Well-Being (CWB) index is a useful method of assessing socio-economic well-being at the community level. The information it provides can help inform policies and programs that are aimed at improving the well-being of Aboriginal people.","genre":"report; statistics","language":"eng","note":"Last Modified: 2020-01-24","title":"National overview of the Community Well-Being index, 1981 to 2016","URL":"https://www.sac-isc.gc.ca/eng/1419864229405/1557324163264","author":[{"literal":"Indigenous Services Canada"}],"accessed":{"date-parts":[["2021",9,16]]},"issued":{"date-parts":[["2020",1,24]]}}}],"schema":"https://github.com/citation-style-language/schema/raw/master/csl-citation.json"} </w:instrText>
      </w:r>
      <w:r>
        <w:fldChar w:fldCharType="separate"/>
      </w:r>
      <w:r w:rsidR="00EF3E31" w:rsidRPr="00EF3E31">
        <w:rPr>
          <w:rFonts w:cs="Calibri"/>
          <w:szCs w:val="24"/>
        </w:rPr>
        <w:t>Indigenous Services Canada, “National Overview of the Community Well-Being Index, 1981 to 2016.”</w:t>
      </w:r>
      <w:r>
        <w:fldChar w:fldCharType="end"/>
      </w:r>
    </w:p>
  </w:footnote>
  <w:footnote w:id="18">
    <w:p w14:paraId="138AD425" w14:textId="1EF9864B" w:rsidR="008B035C" w:rsidRPr="00FB40DB" w:rsidRDefault="008B035C" w:rsidP="00D515E4">
      <w:pPr>
        <w:pStyle w:val="Footnotes"/>
        <w:rPr>
          <w:lang w:val="en-CA"/>
        </w:rPr>
      </w:pPr>
      <w:r>
        <w:rPr>
          <w:rStyle w:val="FootnoteReference"/>
        </w:rPr>
        <w:footnoteRef/>
      </w:r>
      <w:r>
        <w:t xml:space="preserve"> </w:t>
      </w:r>
      <w:r>
        <w:fldChar w:fldCharType="begin"/>
      </w:r>
      <w:r w:rsidR="005B62AB">
        <w:instrText xml:space="preserve"> ADDIN ZOTERO_ITEM CSL_CITATION {"citationID":"NvU7QaNX","properties":{"formattedCitation":"Ibid.","plainCitation":"Ibid.","noteIndex":18},"citationItems":[{"id":10328,"uris":["http://zotero.org/users/2949335/items/5EIRJ4RG"],"itemData":{"id":10328,"type":"webpage","abstract":"The Community Well-Being (CWB) index is a useful method of assessing socio-economic well-being at the community level. The information it provides can help inform policies and programs that are aimed at improving the well-being of Aboriginal people.","genre":"report; statistics","language":"eng","note":"Last Modified: 2020-01-24","title":"National overview of the Community Well-Being index, 1981 to 2016","URL":"https://www.sac-isc.gc.ca/eng/1419864229405/1557324163264","author":[{"literal":"Indigenous Services Canada"}],"accessed":{"date-parts":[["2021",9,16]]},"issued":{"date-parts":[["2020",1,24]]}}}],"schema":"https://github.com/citation-style-language/schema/raw/master/csl-citation.json"} </w:instrText>
      </w:r>
      <w:r>
        <w:fldChar w:fldCharType="separate"/>
      </w:r>
      <w:r w:rsidRPr="00FB40DB">
        <w:t>Ibid.</w:t>
      </w:r>
      <w:r>
        <w:fldChar w:fldCharType="end"/>
      </w:r>
    </w:p>
  </w:footnote>
  <w:footnote w:id="19">
    <w:p w14:paraId="4FF94D2F" w14:textId="6F55273B" w:rsidR="008B035C" w:rsidRPr="0096027D" w:rsidRDefault="008B035C" w:rsidP="00D515E4">
      <w:pPr>
        <w:pStyle w:val="Footnotes"/>
        <w:rPr>
          <w:lang w:val="en-CA"/>
        </w:rPr>
      </w:pPr>
      <w:r>
        <w:rPr>
          <w:rStyle w:val="FootnoteReference"/>
        </w:rPr>
        <w:footnoteRef/>
      </w:r>
      <w:r>
        <w:t xml:space="preserve"> </w:t>
      </w:r>
      <w:r>
        <w:fldChar w:fldCharType="begin"/>
      </w:r>
      <w:r w:rsidR="005B62AB">
        <w:instrText xml:space="preserve"> ADDIN ZOTERO_ITEM CSL_CITATION {"citationID":"VE9xW0Mc","properties":{"formattedCitation":"Ibid.","plainCitation":"Ibid.","noteIndex":19},"citationItems":[{"id":10328,"uris":["http://zotero.org/users/2949335/items/5EIRJ4RG"],"itemData":{"id":10328,"type":"webpage","abstract":"The Community Well-Being (CWB) index is a useful method of assessing socio-economic well-being at the community level. The information it provides can help inform policies and programs that are aimed at improving the well-being of Aboriginal people.","genre":"report; statistics","language":"eng","note":"Last Modified: 2020-01-24","title":"National overview of the Community Well-Being index, 1981 to 2016","URL":"https://www.sac-isc.gc.ca/eng/1419864229405/1557324163264","author":[{"literal":"Indigenous Services Canada"}],"accessed":{"date-parts":[["2021",9,16]]},"issued":{"date-parts":[["2020",1,24]]}}}],"schema":"https://github.com/citation-style-language/schema/raw/master/csl-citation.json"} </w:instrText>
      </w:r>
      <w:r>
        <w:fldChar w:fldCharType="separate"/>
      </w:r>
      <w:r w:rsidRPr="0096027D">
        <w:t>Ibid.</w:t>
      </w:r>
      <w:r>
        <w:fldChar w:fldCharType="end"/>
      </w:r>
    </w:p>
  </w:footnote>
  <w:footnote w:id="20">
    <w:p w14:paraId="2A12D154" w14:textId="170DE0F9" w:rsidR="008B035C" w:rsidRPr="0021580E" w:rsidRDefault="008B035C" w:rsidP="00D515E4">
      <w:pPr>
        <w:pStyle w:val="Footnotes"/>
        <w:rPr>
          <w:lang w:val="en-CA"/>
        </w:rPr>
      </w:pPr>
      <w:r>
        <w:rPr>
          <w:rStyle w:val="FootnoteReference"/>
        </w:rPr>
        <w:footnoteRef/>
      </w:r>
      <w:r>
        <w:t xml:space="preserve"> </w:t>
      </w:r>
      <w:r>
        <w:fldChar w:fldCharType="begin"/>
      </w:r>
      <w:r w:rsidR="005B62AB">
        <w:instrText xml:space="preserve"> ADDIN ZOTERO_ITEM CSL_CITATION {"citationID":"qdr7GKxh","properties":{"formattedCitation":"Ibid.","plainCitation":"Ibid.","noteIndex":20},"citationItems":[{"id":10328,"uris":["http://zotero.org/users/2949335/items/5EIRJ4RG"],"itemData":{"id":10328,"type":"webpage","abstract":"The Community Well-Being (CWB) index is a useful method of assessing socio-economic well-being at the community level. The information it provides can help inform policies and programs that are aimed at improving the well-being of Aboriginal people.","genre":"report; statistics","language":"eng","note":"Last Modified: 2020-01-24","title":"National overview of the Community Well-Being index, 1981 to 2016","URL":"https://www.sac-isc.gc.ca/eng/1419864229405/1557324163264","author":[{"literal":"Indigenous Services Canada"}],"accessed":{"date-parts":[["2021",9,16]]},"issued":{"date-parts":[["2020",1,24]]}}}],"schema":"https://github.com/citation-style-language/schema/raw/master/csl-citation.json"} </w:instrText>
      </w:r>
      <w:r>
        <w:fldChar w:fldCharType="separate"/>
      </w:r>
      <w:r w:rsidRPr="0021580E">
        <w:t>Ibid.</w:t>
      </w:r>
      <w:r>
        <w:fldChar w:fldCharType="end"/>
      </w:r>
    </w:p>
  </w:footnote>
  <w:footnote w:id="21">
    <w:p w14:paraId="7758FF3C" w14:textId="0EFD2C5D" w:rsidR="00EF0DBE" w:rsidRPr="00EF0DBE" w:rsidRDefault="00EF0DBE" w:rsidP="00D515E4">
      <w:pPr>
        <w:pStyle w:val="FootnoteText"/>
        <w:rPr>
          <w:lang w:val="en-CA"/>
        </w:rPr>
      </w:pPr>
      <w:r>
        <w:rPr>
          <w:rStyle w:val="FootnoteReference"/>
        </w:rPr>
        <w:footnoteRef/>
      </w:r>
      <w:r>
        <w:t xml:space="preserve"> </w:t>
      </w:r>
      <w:r>
        <w:fldChar w:fldCharType="begin"/>
      </w:r>
      <w:r w:rsidR="005B62AB">
        <w:instrText xml:space="preserve"> ADDIN ZOTERO_ITEM CSL_CITATION {"citationID":"KIjveah2","properties":{"formattedCitation":"Ibid.","plainCitation":"Ibid.","noteIndex":21},"citationItems":[{"id":10328,"uris":["http://zotero.org/users/2949335/items/5EIRJ4RG"],"itemData":{"id":10328,"type":"webpage","abstract":"The Community Well-Being (CWB) index is a useful method of assessing socio-economic well-being at the community level. The information it provides can help inform policies and programs that are aimed at improving the well-being of Aboriginal people.","genre":"report; statistics","language":"eng","note":"Last Modified: 2020-01-24","title":"National overview of the Community Well-Being index, 1981 to 2016","URL":"https://www.sac-isc.gc.ca/eng/1419864229405/1557324163264","author":[{"literal":"Indigenous Services Canada"}],"accessed":{"date-parts":[["2021",9,16]]},"issued":{"date-parts":[["2020",1,24]]}}}],"schema":"https://github.com/citation-style-language/schema/raw/master/csl-citation.json"} </w:instrText>
      </w:r>
      <w:r>
        <w:fldChar w:fldCharType="separate"/>
      </w:r>
      <w:r w:rsidRPr="00EF0DBE">
        <w:t>Ibid.</w:t>
      </w:r>
      <w:r>
        <w:fldChar w:fldCharType="end"/>
      </w:r>
    </w:p>
  </w:footnote>
  <w:footnote w:id="22">
    <w:p w14:paraId="782AD96F" w14:textId="19857453" w:rsidR="002049E1" w:rsidRPr="008A68E2" w:rsidRDefault="002049E1"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{"citationID":"pKrkBilw","properties":{"formattedCitation":"Raphael, {\\i{}Social Determinants of Health: Canadian Perspectives}.","plainCitation":"Raphael, Social Determinants of Health: Canadian Perspectives.","noteIndex":22},"citationItems":[{"id":15295,"uris":["http://zotero.org/users/2949335/items/RNYL7V23"],"itemData":{"id":15295,"type":"book","ISBN":"1-55130-350-7","publisher":"Canadian Scholars’ Press","title":"Social determinants of health: Canadian perspectives","author":[{"family":"Raphael","given":"Dennis"}],"issued":{"date-parts":[["2009"]]}}}],"schema":"https://github.com/citation-style-language/schema/raw/master/csl-citation.json"} </w:instrText>
      </w:r>
      <w:r>
        <w:fldChar w:fldCharType="separate"/>
      </w:r>
      <w:r w:rsidRPr="008A68E2">
        <w:rPr>
          <w:szCs w:val="24"/>
        </w:rPr>
        <w:t xml:space="preserve">Raphael, </w:t>
      </w:r>
      <w:r w:rsidRPr="008A68E2">
        <w:rPr>
          <w:i/>
          <w:iCs/>
          <w:szCs w:val="24"/>
        </w:rPr>
        <w:t>Social Determinants of Health: Canadian Perspectives</w:t>
      </w:r>
      <w:r w:rsidRPr="008A68E2">
        <w:rPr>
          <w:szCs w:val="24"/>
        </w:rPr>
        <w:t>.</w:t>
      </w:r>
      <w:r>
        <w:fldChar w:fldCharType="end"/>
      </w:r>
    </w:p>
  </w:footnote>
  <w:footnote w:id="23">
    <w:p w14:paraId="1EE46ACB" w14:textId="56593802" w:rsidR="002049E1" w:rsidRPr="00C32AF0" w:rsidRDefault="002049E1" w:rsidP="00D515E4">
      <w:pPr>
        <w:pStyle w:val="FootnoteText"/>
        <w:rPr>
          <w:lang w:val="en-CA"/>
        </w:rPr>
      </w:pPr>
      <w:r>
        <w:rPr>
          <w:rStyle w:val="FootnoteReference"/>
        </w:rPr>
        <w:footnoteRef/>
      </w:r>
      <w:r>
        <w:t xml:space="preserve"> </w:t>
      </w:r>
      <w:r>
        <w:fldChar w:fldCharType="begin"/>
      </w:r>
      <w:r w:rsidR="003952A5">
        <w:instrText xml:space="preserve"> ADDIN ZOTERO_ITEM CSL_CITATION {"citationID":"u2B8p07c","properties":{"formattedCitation":"Ross, \\uc0\\u8220{}Community Belonging and Health.\\uc0\\u8221{}","plainCitation":"Ross, “Community Belonging and Health.”","noteIndex":23},"citationItems":[{"id":17239,"uris":["http://zotero.org/users/2949335/items/XK38MILA"],"itemData":{"id":17239,"type":"article-journal","container-title":"Health reports","issue":"3","note":"ISBN: 0840-6529\npublisher: Statistics Canada","page":"33","title":"Community belonging and health","volume":"13","author":[{"family":"Ross","given":"Nancy"}],"issued":{"date-parts":[["2002"]]}}}],"schema":"https://github.com/citation-style-language/schema/raw/master/csl-citation.json"} </w:instrText>
      </w:r>
      <w:r>
        <w:fldChar w:fldCharType="separate"/>
      </w:r>
      <w:r w:rsidRPr="00C32AF0">
        <w:rPr>
          <w:szCs w:val="24"/>
        </w:rPr>
        <w:t>Ross, “Community Belonging and Health.”</w:t>
      </w:r>
      <w:r>
        <w:fldChar w:fldCharType="end"/>
      </w:r>
    </w:p>
  </w:footnote>
  <w:footnote w:id="24">
    <w:p w14:paraId="3BE19DC7" w14:textId="4C158A27" w:rsidR="002049E1" w:rsidRPr="00C32AF0" w:rsidRDefault="002049E1" w:rsidP="00D515E4">
      <w:pPr>
        <w:pStyle w:val="FootnoteText"/>
        <w:rPr>
          <w:lang w:val="en-CA"/>
        </w:rPr>
      </w:pPr>
      <w:r>
        <w:rPr>
          <w:rStyle w:val="FootnoteReference"/>
        </w:rPr>
        <w:footnoteRef/>
      </w:r>
      <w:r>
        <w:t xml:space="preserve"> </w:t>
      </w:r>
      <w:r>
        <w:fldChar w:fldCharType="begin"/>
      </w:r>
      <w:r w:rsidR="003952A5">
        <w:instrText xml:space="preserve"> ADDIN ZOTERO_ITEM CSL_CITATION {"citationID":"YsSNRFCQ","properties":{"formattedCitation":"Frohlich, Ross, and Richmond, \\uc0\\u8220{}Health Disparities in Canada Today.\\uc0\\u8221{}","plainCitation":"Frohlich, Ross, and Richmond, “Health Disparities in Canada Today.”","noteIndex":24},"citationItems":[{"id":17228,"uris":["http://zotero.org/users/2949335/items/CDAWK9B4"],"itemData":{"id":17228,"type":"article-journal","abstract":"This paper documents contemporary evidence on patterns of health disparities in Canada and suggests theoretical mechanisms that give rise to these patterns. The overall health of Canadians, as measured by life expectancy or mortality, has improved dramatically over the past 30 years and some disparities have diminished slightly (e.g., life expectancy by income group for men), while others have increased (e.g., diabetes for Aboriginal peoples). Arguably the most egregious health disparities in Canada are those existing between Aboriginals and the rest of the Canadian population. This paper focuses speciﬁcally on three social determinants and their effects on disparities in health; Aboriginal status, income, and place. Overall we take the approach that disparities in health could be alleviated by reducing inequities in the distribution of these determinants. We further argue that these social determinants are proxies for opportunities, resources and constraints; all of which inﬂuence health outcomes. We suggest that policies focus on reducing the social inequities that lead to health disparities in Canada, rather than focusing on the disparities in health alone. Since the social determinants described here have been found to inﬂuence an array of disease outcomes, tackling them, rather than their outcomes, may have a greater overall inﬂuence on the health of the population.","container-title":"Health Policy","DOI":"10.1016/j.healthpol.2005.12.010","ISSN":"01688510","issue":"2-3","journalAbbreviation":"Health Policy","language":"en","page":"132-143","source":"DOI.org (Crossref)","title":"Health disparities in Canada today: Some evidence and a theoretical framework","title-short":"Health disparities in Canada today","volume":"79","author":[{"family":"Frohlich","given":"Katherine L."},{"family":"Ross","given":"Nancy"},{"family":"Richmond","given":"Chantelle"}],"issued":{"date-parts":[["2006",12]]}}}],"schema":"https://github.com/citation-style-language/schema/raw/master/csl-citation.json"} </w:instrText>
      </w:r>
      <w:r>
        <w:fldChar w:fldCharType="separate"/>
      </w:r>
      <w:r w:rsidRPr="00C32AF0">
        <w:rPr>
          <w:szCs w:val="24"/>
        </w:rPr>
        <w:t>Frohlich, Ross, and Richmond, “Health Disparities in Canada Today.”</w:t>
      </w:r>
      <w:r>
        <w:fldChar w:fldCharType="end"/>
      </w:r>
    </w:p>
  </w:footnote>
  <w:footnote w:id="25">
    <w:p w14:paraId="596E9F54" w14:textId="6B8F4D6A" w:rsidR="002049E1" w:rsidRPr="001B1B50" w:rsidRDefault="002049E1" w:rsidP="00D515E4">
      <w:pPr>
        <w:pStyle w:val="FootnoteText"/>
        <w:rPr>
          <w:lang w:val="en-CA"/>
        </w:rPr>
      </w:pPr>
      <w:r>
        <w:rPr>
          <w:rStyle w:val="FootnoteReference"/>
        </w:rPr>
        <w:footnoteRef/>
      </w:r>
      <w:r>
        <w:t xml:space="preserve"> </w:t>
      </w:r>
      <w:r>
        <w:fldChar w:fldCharType="begin"/>
      </w:r>
      <w:r w:rsidR="003952A5">
        <w:instrText xml:space="preserve"> ADDIN ZOTERO_ITEM CSL_CITATION {"citationID":"pnOmNeuH","properties":{"formattedCitation":"Ibid., 137.","plainCitation":"Ibid., 137.","noteIndex":25},"citationItems":[{"id":17228,"uris":["http://zotero.org/users/2949335/items/CDAWK9B4"],"itemData":{"id":17228,"type":"article-journal","abstract":"This paper documents contemporary evidence on patterns of health disparities in Canada and suggests theoretical mechanisms that give rise to these patterns. The overall health of Canadians, as measured by life expectancy or mortality, has improved dramatically over the past 30 years and some disparities have diminished slightly (e.g., life expectancy by income group for men), while others have increased (e.g., diabetes for Aboriginal peoples). Arguably the most egregious health disparities in Canada are those existing between Aboriginals and the rest of the Canadian population. This paper focuses speciﬁcally on three social determinants and their effects on disparities in health; Aboriginal status, income, and place. Overall we take the approach that disparities in health could be alleviated by reducing inequities in the distribution of these determinants. We further argue that these social determinants are proxies for opportunities, resources and constraints; all of which inﬂuence health outcomes. We suggest that policies focus on reducing the social inequities that lead to health disparities in Canada, rather than focusing on the disparities in health alone. Since the social determinants described here have been found to inﬂuence an array of disease outcomes, tackling them, rather than their outcomes, may have a greater overall inﬂuence on the health of the population.","container-title":"Health Policy","DOI":"10.1016/j.healthpol.2005.12.010","ISSN":"01688510","issue":"2-3","journalAbbreviation":"Health Policy","language":"en","page":"132-143","source":"DOI.org (Crossref)","title":"Health disparities in Canada today: Some evidence and a theoretical framework","title-short":"Health disparities in Canada today","volume":"79","author":[{"family":"Frohlich","given":"Katherine L."},{"family":"Ross","given":"Nancy"},{"family":"Richmond","given":"Chantelle"}],"issued":{"date-parts":[["2006",12]]}},"locator":"137","label":"page"}],"schema":"https://github.com/citation-style-language/schema/raw/master/csl-citation.json"} </w:instrText>
      </w:r>
      <w:r>
        <w:fldChar w:fldCharType="separate"/>
      </w:r>
      <w:r w:rsidRPr="001B1B50">
        <w:t>Ibid., 137.</w:t>
      </w:r>
      <w:r>
        <w:fldChar w:fldCharType="end"/>
      </w:r>
    </w:p>
  </w:footnote>
  <w:footnote w:id="26">
    <w:p w14:paraId="03E330A9" w14:textId="15A16414" w:rsidR="002049E1" w:rsidRPr="004D190A" w:rsidRDefault="002049E1" w:rsidP="00D515E4">
      <w:pPr>
        <w:pStyle w:val="FootnoteText"/>
        <w:rPr>
          <w:lang w:val="en-CA"/>
        </w:rPr>
      </w:pPr>
      <w:r>
        <w:rPr>
          <w:rStyle w:val="FootnoteReference"/>
        </w:rPr>
        <w:footnoteRef/>
      </w:r>
      <w:r>
        <w:t xml:space="preserve"> </w:t>
      </w:r>
      <w:r>
        <w:fldChar w:fldCharType="begin"/>
      </w:r>
      <w:r w:rsidR="003952A5">
        <w:instrText xml:space="preserve"> ADDIN ZOTERO_ITEM CSL_CITATION {"citationID":"P11Hgy64","properties":{"formattedCitation":"Ibid., 136\\uc0\\u8211{}37.","plainCitation":"Ibid., 136–37.","noteIndex":26},"citationItems":[{"id":17228,"uris":["http://zotero.org/users/2949335/items/CDAWK9B4"],"itemData":{"id":17228,"type":"article-journal","abstract":"This paper documents contemporary evidence on patterns of health disparities in Canada and suggests theoretical mechanisms that give rise to these patterns. The overall health of Canadians, as measured by life expectancy or mortality, has improved dramatically over the past 30 years and some disparities have diminished slightly (e.g., life expectancy by income group for men), while others have increased (e.g., diabetes for Aboriginal peoples). Arguably the most egregious health disparities in Canada are those existing between Aboriginals and the rest of the Canadian population. This paper focuses speciﬁcally on three social determinants and their effects on disparities in health; Aboriginal status, income, and place. Overall we take the approach that disparities in health could be alleviated by reducing inequities in the distribution of these determinants. We further argue that these social determinants are proxies for opportunities, resources and constraints; all of which inﬂuence health outcomes. We suggest that policies focus on reducing the social inequities that lead to health disparities in Canada, rather than focusing on the disparities in health alone. Since the social determinants described here have been found to inﬂuence an array of disease outcomes, tackling them, rather than their outcomes, may have a greater overall inﬂuence on the health of the population.","container-title":"Health Policy","DOI":"10.1016/j.healthpol.2005.12.010","ISSN":"01688510","issue":"2-3","journalAbbreviation":"Health Policy","language":"en","page":"132-143","source":"DOI.org (Crossref)","title":"Health disparities in Canada today: Some evidence and a theoretical framework","title-short":"Health disparities in Canada today","volume":"79","author":[{"family":"Frohlich","given":"Katherine L."},{"family":"Ross","given":"Nancy"},{"family":"Richmond","given":"Chantelle"}],"issued":{"date-parts":[["2006",12]]}},"locator":"136-137","label":"page"}],"schema":"https://github.com/citation-style-language/schema/raw/master/csl-citation.json"} </w:instrText>
      </w:r>
      <w:r>
        <w:fldChar w:fldCharType="separate"/>
      </w:r>
      <w:r w:rsidRPr="004D190A">
        <w:rPr>
          <w:szCs w:val="24"/>
        </w:rPr>
        <w:t>Ibid., 136–37.</w:t>
      </w:r>
      <w:r>
        <w:fldChar w:fldCharType="end"/>
      </w:r>
    </w:p>
  </w:footnote>
  <w:footnote w:id="27">
    <w:p w14:paraId="3DCE8063" w14:textId="05BB3F83" w:rsidR="002049E1" w:rsidRPr="00762FB2" w:rsidRDefault="002049E1" w:rsidP="00D515E4">
      <w:pPr>
        <w:pStyle w:val="FootnoteText"/>
        <w:rPr>
          <w:lang w:val="en-CA"/>
        </w:rPr>
      </w:pPr>
      <w:r>
        <w:rPr>
          <w:rStyle w:val="FootnoteReference"/>
        </w:rPr>
        <w:footnoteRef/>
      </w:r>
      <w:r>
        <w:t xml:space="preserve"> </w:t>
      </w:r>
      <w:r>
        <w:fldChar w:fldCharType="begin"/>
      </w:r>
      <w:r w:rsidR="003952A5">
        <w:instrText xml:space="preserve"> ADDIN ZOTERO_ITEM CSL_CITATION {"citationID":"y2CTfZF1","properties":{"formattedCitation":"Haman et al., \\uc0\\u8220{}Obesity and Type 2 Diabetes in Northern Canada\\uc0\\u8217{}s Remote First Nations Communities: The Dietary Dilemma.\\uc0\\u8221{}","plainCitation":"Haman et al., “Obesity and Type 2 Diabetes in Northern Canada’s Remote First Nations Communities: The Dietary Dilemma.”","noteIndex":27},"citationItems":[{"id":889,"uris":["http://zotero.org/groups/2314465/items/QEQGT89S"],"itemData":{"id":889,"type":"article-journal","container-title":"International Journal of Obesity","ISSN":"1476-5497","issue":"S2","page":"S24","title":"Obesity and type 2 diabetes in Northern Canada's remote First Nations communities: the dietary dilemma","volume":"34","author":[{"family":"Haman","given":"François"},{"family":"Fontaine-Bisson","given":"B"},{"family":"Batal","given":"M"},{"family":"Imbeault","given":"P"},{"family":"Blais","given":"JM"},{"family":"Robidoux","given":"MA"}],"issued":{"date-parts":[["2010"]]}}}],"schema":"https://github.com/citation-style-language/schema/raw/master/csl-citation.json"} </w:instrText>
      </w:r>
      <w:r>
        <w:fldChar w:fldCharType="separate"/>
      </w:r>
      <w:r w:rsidRPr="00762FB2">
        <w:rPr>
          <w:szCs w:val="24"/>
        </w:rPr>
        <w:t>Haman et al., “Obesity and Type 2 Diabetes in Northern Canada’s Remote First Nations Communities: The Dietary Dilemma.”</w:t>
      </w:r>
      <w:r>
        <w:fldChar w:fldCharType="end"/>
      </w:r>
    </w:p>
  </w:footnote>
  <w:footnote w:id="28">
    <w:p w14:paraId="36202A43" w14:textId="45A6756A" w:rsidR="002049E1" w:rsidRPr="008852EF" w:rsidRDefault="002049E1" w:rsidP="00D515E4">
      <w:pPr>
        <w:pStyle w:val="FootnoteText"/>
        <w:rPr>
          <w:lang w:val="en-CA"/>
        </w:rPr>
      </w:pPr>
      <w:r>
        <w:rPr>
          <w:rStyle w:val="FootnoteReference"/>
        </w:rPr>
        <w:footnoteRef/>
      </w:r>
      <w:r>
        <w:t xml:space="preserve"> </w:t>
      </w:r>
      <w:r>
        <w:fldChar w:fldCharType="begin"/>
      </w:r>
      <w:r w:rsidR="003952A5">
        <w:instrText xml:space="preserve"> ADDIN ZOTERO_ITEM CSL_CITATION {"citationID":"K4aGC56B","properties":{"formattedCitation":"\\uc0\\u8220{}Tuberculosis in Indigenous Communities.\\uc0\\u8221{}","plainCitation":"“Tuberculosis in Indigenous Communities.”","noteIndex":28},"citationItems":[{"id":5361,"uris":["http://zotero.org/groups/2314465/items/7QYIGQCV"],"itemData":{"id":5361,"type":"article-journal","language":"en","page":"2","source":"Zotero","title":"Tuberculosis in Indigenous communities"}}],"schema":"https://github.com/citation-style-language/schema/raw/master/csl-citation.json"} </w:instrText>
      </w:r>
      <w:r>
        <w:fldChar w:fldCharType="separate"/>
      </w:r>
      <w:r w:rsidRPr="008852EF">
        <w:rPr>
          <w:szCs w:val="24"/>
        </w:rPr>
        <w:t>“Tuberculosis in Indigenous Communities.”</w:t>
      </w:r>
      <w:r>
        <w:fldChar w:fldCharType="end"/>
      </w:r>
    </w:p>
  </w:footnote>
  <w:footnote w:id="29">
    <w:p w14:paraId="0B020D15" w14:textId="6871F759" w:rsidR="002049E1" w:rsidRPr="00762FB2" w:rsidRDefault="002049E1" w:rsidP="00D515E4">
      <w:pPr>
        <w:pStyle w:val="FootnoteText"/>
        <w:rPr>
          <w:lang w:val="en-CA"/>
        </w:rPr>
      </w:pPr>
      <w:r>
        <w:rPr>
          <w:rStyle w:val="FootnoteReference"/>
        </w:rPr>
        <w:footnoteRef/>
      </w:r>
      <w:r>
        <w:t xml:space="preserve"> </w:t>
      </w:r>
      <w:r>
        <w:fldChar w:fldCharType="begin"/>
      </w:r>
      <w:r w:rsidR="003952A5">
        <w:instrText xml:space="preserve"> ADDIN ZOTERO_ITEM CSL_CITATION {"citationID":"MqHc0aY3","properties":{"formattedCitation":"Kant et al., \\uc0\\u8220{}Social, Cultural, and Land Use Determinants of the Health and Well-Being of Aboriginal Peoples of Canada.\\uc0\\u8221{}","plainCitation":"Kant et al., “Social, Cultural, and Land Use Determinants of the Health and Well-Being of Aboriginal Peoples of Canada.”","noteIndex":29},"citationItems":[{"id":17249,"uris":["http://zotero.org/users/2949335/items/25PH9MRJ"],"itemData":{"id":17249,"type":"article-journal","abstract":"We explored the contributions of social, cultural, and land use (SCLU) factors to Aboriginal well-being and health using path analysis and data collected from 2 of 614 First Nations in Canada. Information gathered from a structured questionnaire with questions related to seven domains of well-being and contributing factors led to key findings: (i) the SCLU domain is the most important; (ii) the most important SCLU factors are the percentage of household meals of traditional diets and the impact of government regulations on land use; (iii) the most important Health domain factors are the prevalence of mental and psychological problems and the quality of health services; and (iv) the SCLU factors of access to cultural sites, the freedom to participate in spiritual activities, and the impact of government regulations on social and cultural life have a profound effect on mental health. Improving Aboriginal well-being and health may depend on incorporating SCLU factors into new, holistic policies.","container-title":"Journal of Public Health Policy","DOI":"10.1057/jphp.2013.27","ISSN":"1745-655X","issue":"3","journalAbbreviation":"J Public Health Pol","language":"en","page":"462-476","source":"Springer Link","title":"Social, cultural, and land use determinants of the health and well-being of Aboriginal peoples of Canada: A path analysis","title-short":"Social, cultural, and land use determinants of the health and well-being of Aboriginal peoples of Canada","volume":"34","author":[{"family":"Kant","given":"Shashi"},{"family":"Vertinsky","given":"Ilan"},{"family":"Zheng","given":"Bin"},{"family":"Smith","given":"Peggy M"}],"issued":{"date-parts":[["2013",8,1]]}}}],"schema":"https://github.com/citation-style-language/schema/raw/master/csl-citation.json"} </w:instrText>
      </w:r>
      <w:r>
        <w:fldChar w:fldCharType="separate"/>
      </w:r>
      <w:r w:rsidRPr="00762FB2">
        <w:rPr>
          <w:szCs w:val="24"/>
        </w:rPr>
        <w:t>Kant et al., “Social, Cultural, and Land Use Determinants of the Health and Well-Being of Aboriginal Peoples of Canada.”</w:t>
      </w:r>
      <w:r>
        <w:fldChar w:fldCharType="end"/>
      </w:r>
    </w:p>
  </w:footnote>
  <w:footnote w:id="30">
    <w:p w14:paraId="68BC8FB4" w14:textId="77777777" w:rsidR="002049E1" w:rsidRPr="00225829" w:rsidRDefault="002049E1" w:rsidP="00D515E4">
      <w:pPr>
        <w:pStyle w:val="FootnoteText"/>
        <w:rPr>
          <w:lang w:val="en-CA"/>
        </w:rPr>
      </w:pPr>
      <w:r>
        <w:rPr>
          <w:rStyle w:val="FootnoteReference"/>
        </w:rPr>
        <w:footnoteRef/>
      </w:r>
      <w:r>
        <w:t xml:space="preserve"> </w:t>
      </w:r>
      <w:r>
        <w:rPr>
          <w:lang w:val="en-CA"/>
        </w:rPr>
        <w:t>That is, excluding indirect and induced impacts from the total.</w:t>
      </w:r>
    </w:p>
  </w:footnote>
  <w:footnote w:id="31">
    <w:p w14:paraId="24E1EB9F" w14:textId="77777777" w:rsidR="002049E1" w:rsidRPr="00AF74BE" w:rsidRDefault="002049E1" w:rsidP="002049E1">
      <w:pPr>
        <w:spacing w:after="0"/>
        <w:rPr>
          <w:rFonts w:asciiTheme="minorHAnsi" w:hAnsiTheme="minorHAnsi" w:cstheme="minorHAnsi"/>
          <w:sz w:val="20"/>
          <w:szCs w:val="20"/>
        </w:rPr>
      </w:pPr>
      <w:r w:rsidRPr="00AF74BE">
        <w:rPr>
          <w:rStyle w:val="FootnoteReference"/>
          <w:rFonts w:asciiTheme="minorHAnsi" w:hAnsiTheme="minorHAnsi" w:cstheme="minorHAnsi"/>
          <w:sz w:val="20"/>
          <w:szCs w:val="20"/>
        </w:rPr>
        <w:footnoteRef/>
      </w:r>
      <w:r w:rsidRPr="00AF74BE">
        <w:rPr>
          <w:rFonts w:asciiTheme="minorHAnsi" w:hAnsiTheme="minorHAnsi" w:cstheme="minorHAnsi"/>
          <w:sz w:val="20"/>
          <w:szCs w:val="20"/>
        </w:rPr>
        <w:t xml:space="preserve"> National Indigenous Economic Development Board, </w:t>
      </w:r>
      <w:r w:rsidRPr="00796ADF">
        <w:rPr>
          <w:rFonts w:asciiTheme="minorHAnsi" w:hAnsiTheme="minorHAnsi" w:cstheme="minorHAnsi"/>
          <w:i/>
          <w:iCs/>
          <w:sz w:val="20"/>
          <w:szCs w:val="20"/>
        </w:rPr>
        <w:t>The Indigenous Economic Progress Report 2019</w:t>
      </w:r>
      <w:r>
        <w:rPr>
          <w:rFonts w:asciiTheme="minorHAnsi" w:hAnsiTheme="minorHAnsi" w:cstheme="minorHAnsi"/>
          <w:sz w:val="20"/>
          <w:szCs w:val="20"/>
        </w:rPr>
        <w:t>,</w:t>
      </w:r>
      <w:r w:rsidRPr="00AF74BE">
        <w:rPr>
          <w:rFonts w:asciiTheme="minorHAnsi" w:hAnsiTheme="minorHAnsi" w:cstheme="minorHAnsi"/>
          <w:sz w:val="20"/>
          <w:szCs w:val="20"/>
        </w:rPr>
        <w:t xml:space="preserve"> 10. </w:t>
      </w:r>
    </w:p>
  </w:footnote>
  <w:footnote w:id="32">
    <w:p w14:paraId="0A18F693" w14:textId="77777777" w:rsidR="002049E1" w:rsidRPr="00AF74BE" w:rsidRDefault="002049E1" w:rsidP="00D515E4">
      <w:pPr>
        <w:pStyle w:val="FootnoteText"/>
        <w:rPr>
          <w:lang w:val="en-CA"/>
        </w:rPr>
      </w:pPr>
      <w:r w:rsidRPr="00AF74BE">
        <w:rPr>
          <w:rStyle w:val="FootnoteReference"/>
          <w:rFonts w:cstheme="minorHAnsi"/>
        </w:rPr>
        <w:footnoteRef/>
      </w:r>
      <w:r w:rsidRPr="00AF74BE">
        <w:t xml:space="preserve"> </w:t>
      </w:r>
      <w:r w:rsidRPr="00AF74BE">
        <w:rPr>
          <w:lang w:val="en-CA"/>
        </w:rPr>
        <w:t>Ibid.</w:t>
      </w:r>
    </w:p>
  </w:footnote>
  <w:footnote w:id="33">
    <w:p w14:paraId="6825A159" w14:textId="43C7EC66" w:rsidR="00597373" w:rsidRPr="00597373" w:rsidRDefault="00597373"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{"citationID":"k7IUoczA","properties":{"formattedCitation":"Waubetek Business Development Corporation, \\uc0\\u8220{}Aboriginal Mining Strategy for North East Ontario.\\uc0\\u8221{}","plainCitation":"Waubetek Business Development Corporation, “Aboriginal Mining Strategy for North East Ontario.”","noteIndex":33},"citationItems":[{"id":15240,"uris":["http://zotero.org/users/2949335/items/55P782QG"],"itemData":{"id":15240,"type":"document","title":"Aboriginal Mining Strategy for North East Ontario","URL":"https://www.waubetek.com/upload/documents/regional-in-mining-/mining_brochure.pdf","author":[{"literal":"Waubetek Business Development Corporation"}],"accessed":{"date-parts":[["2022",8,5]]}}}],"schema":"https://github.com/citation-style-language/schema/raw/master/csl-citation.json"} </w:instrText>
      </w:r>
      <w:r>
        <w:fldChar w:fldCharType="separate"/>
      </w:r>
      <w:r w:rsidRPr="00597373">
        <w:rPr>
          <w:szCs w:val="24"/>
        </w:rPr>
        <w:t>Waubetek Business Development Corporation, “Aboriginal Mining Strategy for North East Ontario.”</w:t>
      </w:r>
      <w:r>
        <w:fldChar w:fldCharType="end"/>
      </w:r>
    </w:p>
  </w:footnote>
  <w:footnote w:id="34">
    <w:p w14:paraId="2A60EFA3" w14:textId="00D09936" w:rsidR="00597373" w:rsidRPr="00597373" w:rsidRDefault="00597373"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{"citationID":"kdsywQpK","properties":{"formattedCitation":"\\uc0\\u8220{}Waubetek Business Development Corporation - Aboriginal Mining Initiative.\\uc0\\u8221{}","plainCitation":"“Waubetek Business Development Corporation - Aboriginal Mining Initiative.”","noteIndex":34},"citationItems":[{"id":15237,"uris":["http://zotero.org/users/2949335/items/JL2JX2KG"],"itemData":{"id":15237,"type":"webpage","title":"Waubetek Business Development Corporation - Aboriginal Mining Initiative","URL":"https://www.waubetek.com/article/aboriginal-mining-initiative-165.asp","accessed":{"date-parts":[["2022",8,5]]}}}],"schema":"https://github.com/citation-style-language/schema/raw/master/csl-citation.json"} </w:instrText>
      </w:r>
      <w:r>
        <w:fldChar w:fldCharType="separate"/>
      </w:r>
      <w:r w:rsidRPr="00597373">
        <w:rPr>
          <w:szCs w:val="24"/>
        </w:rPr>
        <w:t>“Waubetek Business Development Corporation - Aboriginal Mining Initiative.”</w:t>
      </w:r>
      <w:r>
        <w:fldChar w:fldCharType="end"/>
      </w:r>
    </w:p>
  </w:footnote>
  <w:footnote w:id="35">
    <w:p w14:paraId="3C5C7405" w14:textId="6BC39F51" w:rsidR="00CD56E8" w:rsidRPr="00CD56E8" w:rsidRDefault="00CD56E8"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{"citationID":"qGmo7oEH","properties":{"formattedCitation":"\\uc0\\u8220{}Waubetek, Laurentian Sign Agreement for Indigenous Mining Centre.\\uc0\\u8221{}","plainCitation":"“Waubetek, Laurentian Sign Agreement for Indigenous Mining Centre.”","noteIndex":35},"citationItems":[{"id":15233,"uris":["http://zotero.org/users/2949335/items/6WFGMM3D"],"itemData":{"id":15233,"type":"webpage","abstract":"Centre of Excellence for Indigenous Minerals Development to foster relationships between Indigenous communities and mining companies","container-title":"Northern Ontario Business","language":"en","note":"section: Indigenous Business","title":"Waubetek, Laurentian sign agreement for Indigenous mining centre","URL":"https://www.northernontariobusiness.com/industry-news/aboriginal-businesses/waubetek-laurentian-sign-agreement-for-indigenous-mining-centre-2135110","accessed":{"date-parts":[["2022",8,5]]}}}],"schema":"https://github.com/citation-style-language/schema/raw/master/csl-citation.json"} </w:instrText>
      </w:r>
      <w:r>
        <w:fldChar w:fldCharType="separate"/>
      </w:r>
      <w:r w:rsidRPr="00CD56E8">
        <w:rPr>
          <w:szCs w:val="24"/>
        </w:rPr>
        <w:t>“Waubetek, Laurentian Sign Agreement for Indigenous Mining Centre.”</w:t>
      </w:r>
      <w:r>
        <w:fldChar w:fldCharType="end"/>
      </w:r>
    </w:p>
  </w:footnote>
  <w:footnote w:id="36">
    <w:p w14:paraId="331ADC50" w14:textId="0E259144" w:rsidR="00CD56E8" w:rsidRPr="00CD56E8" w:rsidRDefault="00CD56E8"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{"citationID":"wfEdBnoM","properties":{"formattedCitation":"Ibid.","plainCitation":"Ibid.","noteIndex":36},"citationItems":[{"id":15233,"uris":["http://zotero.org/users/2949335/items/6WFGMM3D"],"itemData":{"id":15233,"type":"webpage","abstract":"Centre of Excellence for Indigenous Minerals Development to foster relationships between Indigenous communities and mining companies","container-title":"Northern Ontario Business","language":"en","note":"section: Indigenous Business","title":"Waubetek, Laurentian sign agreement for Indigenous mining centre","URL":"https://www.northernontariobusiness.com/industry-news/aboriginal-businesses/waubetek-laurentian-sign-agreement-for-indigenous-mining-centre-2135110","accessed":{"date-parts":[["2022",8,5]]}}}],"schema":"https://github.com/citation-style-language/schema/raw/master/csl-citation.json"} </w:instrText>
      </w:r>
      <w:r>
        <w:fldChar w:fldCharType="separate"/>
      </w:r>
      <w:r w:rsidRPr="00CD56E8">
        <w:t>Ibid.</w:t>
      </w:r>
      <w:r>
        <w:fldChar w:fldCharType="end"/>
      </w:r>
    </w:p>
  </w:footnote>
  <w:footnote w:id="37">
    <w:p w14:paraId="1905C0C2" w14:textId="784BADA0" w:rsidR="0083507C" w:rsidRPr="0083507C" w:rsidRDefault="0083507C"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{"citationID":"HD5n1KYw","properties":{"formattedCitation":"Thompson, \\uc0\\u8220{}The Atlin Hydro Project.\\uc0\\u8221{}","plainCitation":"Thompson, “The Atlin Hydro Project.”","noteIndex":37},"citationItems":[{"id":15264,"uris":["http://zotero.org/users/2949335/items/YQTMXSH3"],"itemData":{"id":15264,"type":"webpage","container-title":"The Conference Board of Canada","title":"The Atlin Hydro Project: Making a Meaningful Contribution to Community Health and Well-Being","title-short":"The Atlin Hydro Project","URL":"https://conferenceboard.ca/e-library/abstract.aspx?did=10973","author":[{"family":"Thompson","given":"Amanda"}],"accessed":{"date-parts":[["2022",8,5]]}}}],"schema":"https://github.com/citation-style-language/schema/raw/master/csl-citation.json"} </w:instrText>
      </w:r>
      <w:r>
        <w:fldChar w:fldCharType="separate"/>
      </w:r>
      <w:r w:rsidRPr="0083507C">
        <w:rPr>
          <w:szCs w:val="24"/>
        </w:rPr>
        <w:t>Thompson, “The Atlin Hydro Project.”</w:t>
      </w:r>
      <w:r>
        <w:fldChar w:fldCharType="end"/>
      </w:r>
    </w:p>
  </w:footnote>
  <w:footnote w:id="38">
    <w:p w14:paraId="6515F8D5" w14:textId="5CED7F18" w:rsidR="0083507C" w:rsidRPr="00B92A76" w:rsidRDefault="0083507C"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{"citationID":"0NloktQd","properties":{"formattedCitation":"\\uc0\\u8220{}First Nation Regeneration Fund | Regenerating Aboriginal Economies.\\uc0\\u8221{}","plainCitation":"“First Nation Regeneration Fund | Regenerating Aboriginal Economies.”","noteIndex":38},"citationItems":[{"id":15262,"uris":["http://zotero.org/users/2949335/items/CN8GNS2J"],"itemData":{"id":15262,"type":"webpage","title":"First Nation Regeneration Fund | Regenerating Aboriginal Economies","URL":"https://firstnationregenerationfund.wordpress.com/","accessed":{"date-parts":[["2022",8,5]]}}}],"schema":"https://github.com/citation-style-language/schema/raw/master/csl-citation.json"} </w:instrText>
      </w:r>
      <w:r>
        <w:fldChar w:fldCharType="separate"/>
      </w:r>
      <w:r w:rsidRPr="0083507C">
        <w:rPr>
          <w:szCs w:val="24"/>
        </w:rPr>
        <w:t>“First Nation Regeneration Fund | Regenerating Aboriginal Economies.”</w:t>
      </w:r>
      <w:r>
        <w:fldChar w:fldCharType="end"/>
      </w:r>
    </w:p>
  </w:footnote>
  <w:footnote w:id="39">
    <w:p w14:paraId="1BD8CF1A" w14:textId="000BF0D5" w:rsidR="00271A39" w:rsidRPr="00271A39" w:rsidRDefault="00271A39"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{"citationID":"CsgwECEJ","properties":{"formattedCitation":"Thompson, \\uc0\\u8220{}The Atlin Hydro Project,\\uc0\\u8221{} 8.","plainCitation":"Thompson, “The Atlin Hydro Project,” 8.","noteIndex":39},"citationItems":[{"id":15264,"uris":["http://zotero.org/users/2949335/items/YQTMXSH3"],"itemData":{"id":15264,"type":"webpage","container-title":"The Conference Board of Canada","title":"The Atlin Hydro Project: Making a Meaningful Contribution to Community Health and Well-Being","title-short":"The Atlin Hydro Project","URL":"https://conferenceboard.ca/e-library/abstract.aspx?did=10973","author":[{"family":"Thompson","given":"Amanda"}],"accessed":{"date-parts":[["2022",8,5]]}},"locator":"8","label":"page"}],"schema":"https://github.com/citation-style-language/schema/raw/master/csl-citation.json"} </w:instrText>
      </w:r>
      <w:r>
        <w:fldChar w:fldCharType="separate"/>
      </w:r>
      <w:r w:rsidRPr="00271A39">
        <w:rPr>
          <w:szCs w:val="24"/>
        </w:rPr>
        <w:t>Thompson, “The Atlin Hydro Project,” 8.</w:t>
      </w:r>
      <w:r>
        <w:fldChar w:fldCharType="end"/>
      </w:r>
    </w:p>
  </w:footnote>
  <w:footnote w:id="40">
    <w:p w14:paraId="412C5A8B" w14:textId="623B076E" w:rsidR="00271A39" w:rsidRPr="00271A39" w:rsidRDefault="00271A39"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{"citationID":"QERCvlUy","properties":{"formattedCitation":"Ibid.","plainCitation":"Ibid.","noteIndex":40},"citationItems":[{"id":15264,"uris":["http://zotero.org/users/2949335/items/YQTMXSH3"],"itemData":{"id":15264,"type":"webpage","container-title":"The Conference Board of Canada","title":"The Atlin Hydro Project: Making a Meaningful Contribution to Community Health and Well-Being","title-short":"The Atlin Hydro Project","URL":"https://conferenceboard.ca/e-library/abstract.aspx?did=10973","author":[{"family":"Thompson","given":"Amanda"}],"accessed":{"date-parts":[["2022",8,5]]}},"locator":"8","label":"page"}],"schema":"https://github.com/citation-style-language/schema/raw/master/csl-citation.json"} </w:instrText>
      </w:r>
      <w:r>
        <w:fldChar w:fldCharType="separate"/>
      </w:r>
      <w:r w:rsidR="006D5DBC" w:rsidRPr="006D5DBC">
        <w:t>Ibid.</w:t>
      </w:r>
      <w:r>
        <w:fldChar w:fldCharType="end"/>
      </w:r>
    </w:p>
  </w:footnote>
  <w:footnote w:id="41">
    <w:p w14:paraId="5BC8FDEF" w14:textId="49525CF6" w:rsidR="006D5DBC" w:rsidRPr="006D5DBC" w:rsidRDefault="006D5DBC"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{"citationID":"inE19VX8","properties":{"formattedCitation":"Ibid., 3.","plainCitation":"Ibid., 3.","noteIndex":41},"citationItems":[{"id":15264,"uris":["http://zotero.org/users/2949335/items/YQTMXSH3"],"itemData":{"id":15264,"type":"webpage","container-title":"The Conference Board of Canada","title":"The Atlin Hydro Project: Making a Meaningful Contribution to Community Health and Well-Being","title-short":"The Atlin Hydro Project","URL":"https://conferenceboard.ca/e-library/abstract.aspx?did=10973","author":[{"family":"Thompson","given":"Amanda"}],"accessed":{"date-parts":[["2022",8,5]]}},"locator":"3","label":"page"}],"schema":"https://github.com/citation-style-language/schema/raw/master/csl-citation.json"} </w:instrText>
      </w:r>
      <w:r>
        <w:fldChar w:fldCharType="separate"/>
      </w:r>
      <w:r w:rsidRPr="006D5DBC">
        <w:t>Ibid., 3.</w:t>
      </w:r>
      <w:r>
        <w:fldChar w:fldCharType="end"/>
      </w:r>
    </w:p>
  </w:footnote>
  <w:footnote w:id="42">
    <w:p w14:paraId="604D1FD7" w14:textId="210068DB" w:rsidR="0055352A" w:rsidRPr="00543C1B" w:rsidRDefault="0055352A" w:rsidP="00D515E4">
      <w:pPr>
        <w:pStyle w:val="Footnotes"/>
        <w:rPr>
          <w:lang w:val="en-CA"/>
        </w:rPr>
      </w:pPr>
      <w:r>
        <w:rPr>
          <w:rStyle w:val="FootnoteReference"/>
        </w:rPr>
        <w:footnoteRef/>
      </w:r>
      <w:r>
        <w:t xml:space="preserve"> </w:t>
      </w:r>
      <w:r w:rsidRPr="00543C1B">
        <w:t>Due to data limitations the model is restricted to Indigenous populations living off-reserve. There is currently no comparable survey of populations living on</w:t>
      </w:r>
      <w:r>
        <w:t>-</w:t>
      </w:r>
      <w:r w:rsidRPr="00543C1B">
        <w:t>reserve. For this underrepresented population, insights can be gleaned from research institutions such as the First Nations Information Governance Centre (FNIGC) and a limited selection of academic and published community-based research.  But for this research project there was insufficient data available from these sources to support a similar model of on-reserve social impacts.</w:t>
      </w:r>
    </w:p>
  </w:footnote>
  <w:footnote w:id="43">
    <w:p w14:paraId="23702F87" w14:textId="3905C7AB" w:rsidR="000E77F1" w:rsidRPr="000E77F1" w:rsidRDefault="000E77F1" w:rsidP="00D515E4">
      <w:pPr>
        <w:pStyle w:val="Footnotes"/>
        <w:rPr>
          <w:lang w:val="en-CA"/>
        </w:rPr>
      </w:pPr>
      <w:r>
        <w:rPr>
          <w:rStyle w:val="FootnoteReference"/>
        </w:rPr>
        <w:footnoteRef/>
      </w:r>
      <w:r>
        <w:t xml:space="preserve"> </w:t>
      </w:r>
      <w:r w:rsidRPr="000E77F1">
        <w:t>To ensure that the simulation was as accurate and representative as possible, care was taken to match the distribution of labor incomes to the demographic characteristics of the sample population. This was done using established statistical methods that took into account factors such as age, gender, and education levels.</w:t>
      </w:r>
    </w:p>
  </w:footnote>
  <w:footnote w:id="44">
    <w:p w14:paraId="0C7C6A5C" w14:textId="2C5C3718" w:rsidR="00725AE9" w:rsidRPr="00D025E1" w:rsidRDefault="00725AE9" w:rsidP="00D515E4">
      <w:pPr>
        <w:pStyle w:val="FootnoteText"/>
        <w:rPr>
          <w:lang w:val="en-CA"/>
        </w:rPr>
      </w:pPr>
      <w:r>
        <w:rPr>
          <w:rStyle w:val="FootnoteReference"/>
        </w:rPr>
        <w:footnoteRef/>
      </w:r>
      <w:r>
        <w:t xml:space="preserve"> </w:t>
      </w:r>
      <w:r>
        <w:fldChar w:fldCharType="begin"/>
      </w:r>
      <w:r w:rsidR="003952A5">
        <w:instrText xml:space="preserve"> ADDIN ZOTERO_ITEM CSL_CITATION {"citationID":"Kgo9e6Ln","properties":{"formattedCitation":"Government of Canada, \\uc0\\u8220{}Housing Suitability of Private Household.\\uc0\\u8221{}","plainCitation":"Government of Canada, “Housing Suitability of Private Household.”","noteIndex":44},"citationItems":[{"id":15627,"uris":["http://zotero.org/users/2949335/items/DISZ4HQX"],"itemData":{"id":15627,"type":"webpage","abstract":"'Housing suitability' refers to whether a private household is living in suitable accommodations according to the National Occupancy Standard (NOS); that is, whether the dwelling has enough bedrooms for the size and composition of the household. A household is deemed to be living in suitable accommodations if its dwelling has enough bedrooms, as calculated using the NOS. 'Private household' refers to a person or group of persons who occupy the same dwelling and do not have a usual place of residence elsewhere in Canada or abroad. The household universe is divided into two sub-universes on the basis of whether the household is occupying a collective dwelling or a private dwelling. The latter is a private household.","language":"eng","note":"Last Modified: 2021-09-20","title":"Housing suitability of private household","URL":"https://www23.statcan.gc.ca/imdb/p3Var.pl?Function=DEC&amp;Id=100731","author":[{"family":"Government of Canada","given":"Statistics Canada"}],"accessed":{"date-parts":[["2022",9,23]]},"issued":{"date-parts":[["2013",7,10]]}}}],"schema":"https://github.com/citation-style-language/schema/raw/master/csl-citation.json"} </w:instrText>
      </w:r>
      <w:r>
        <w:fldChar w:fldCharType="separate"/>
      </w:r>
      <w:r w:rsidRPr="00D025E1">
        <w:rPr>
          <w:szCs w:val="24"/>
        </w:rPr>
        <w:t>Government of Canada, “Housing Suitability of Private Household.”</w:t>
      </w:r>
      <w:r>
        <w:fldChar w:fldCharType="end"/>
      </w:r>
    </w:p>
  </w:footnote>
  <w:footnote w:id="45">
    <w:p w14:paraId="1C08F3BC" w14:textId="203D9711" w:rsidR="00725AE9" w:rsidRPr="00A27419" w:rsidRDefault="00725AE9" w:rsidP="00D515E4">
      <w:pPr>
        <w:pStyle w:val="FootnoteText"/>
        <w:rPr>
          <w:lang w:val="en-CA"/>
        </w:rPr>
      </w:pPr>
      <w:r>
        <w:rPr>
          <w:rStyle w:val="FootnoteReference"/>
        </w:rPr>
        <w:footnoteRef/>
      </w:r>
      <w:r>
        <w:t xml:space="preserve"> </w:t>
      </w:r>
      <w:r>
        <w:fldChar w:fldCharType="begin"/>
      </w:r>
      <w:r w:rsidR="003952A5">
        <w:instrText xml:space="preserve"> ADDIN ZOTERO_ITEM CSL_CITATION {"citationID":"95L1sktX","properties":{"formattedCitation":"Thurston and Randle, \\uc0\\u8220{}Housing Experiences in Canada: Status First Nations People in 2016.\\uc0\\u8221{}","plainCitation":"Thurston and Randle, “Housing Experiences in Canada: Status First Nations People in 2016.”","noteIndex":45},"citationItems":[{"id":15630,"uris":["http://zotero.org/users/2949335/items/3RWPNJZ2"],"itemData":{"id":15630,"type":"article-journal","language":"en","page":"13","source":"Zotero","title":"Housing Experiences in Canada: Status First Nations people in 2016","author":[{"family":"Thurston","given":"Zachary"},{"family":"Randle","given":"Jeff"}],"issued":{"date-parts":[["2016"]]}}}],"schema":"https://github.com/citation-style-language/schema/raw/master/csl-citation.json"} </w:instrText>
      </w:r>
      <w:r>
        <w:fldChar w:fldCharType="separate"/>
      </w:r>
      <w:r w:rsidRPr="00A27419">
        <w:rPr>
          <w:szCs w:val="24"/>
        </w:rPr>
        <w:t>Thurston and Randle, “Housing Experiences in Canada: Status First Nations People in 2016.”</w:t>
      </w:r>
      <w:r>
        <w:fldChar w:fldCharType="end"/>
      </w:r>
    </w:p>
  </w:footnote>
  <w:footnote w:id="46">
    <w:p w14:paraId="1E7B4280" w14:textId="52EA602A" w:rsidR="00725AE9" w:rsidRPr="00654FA1" w:rsidRDefault="00725AE9" w:rsidP="00D515E4">
      <w:pPr>
        <w:pStyle w:val="FootnoteText"/>
        <w:rPr>
          <w:lang w:val="en-CA"/>
        </w:rPr>
      </w:pPr>
      <w:r>
        <w:rPr>
          <w:rStyle w:val="FootnoteReference"/>
        </w:rPr>
        <w:footnoteRef/>
      </w:r>
      <w:r>
        <w:t xml:space="preserve"> </w:t>
      </w:r>
      <w:r>
        <w:fldChar w:fldCharType="begin"/>
      </w:r>
      <w:r w:rsidR="003952A5">
        <w:instrText xml:space="preserve"> ADDIN ZOTERO_ITEM CSL_CITATION {"citationID":"ZDCMajy6","properties":{"formattedCitation":"Government of Canada, \\uc0\\u8220{}Housing Experiences in Canada,\\uc0\\u8221{} August 15, 2022.","plainCitation":"Government of Canada, “Housing Experiences in Canada,” August 15, 2022.","noteIndex":46},"citationItems":[{"id":15635,"uris":["http://zotero.org/users/2949335/items/8W4WZHFF"],"itemData":{"id":15635,"type":"webpage","abstract":"This article about Inuit is part of the Housing Experiences in Canada fact sheet series. This series focuses on housing indicators that provide information on the housing experiences of different population groups, with a focus on those identified in legislation that recognizes housing as a human right.","language":"eng","note":"Last Modified: 2022-08-15","title":"Housing experiences in Canada: Inuit in 2016","title-short":"Housing experiences in Canada","URL":"https://www150.statcan.gc.ca/n1/pub/46-28-0001/2021001/article/00015-eng.htm","author":[{"family":"Government of Canada","given":"Statistics Canada"}],"accessed":{"date-parts":[["2022",9,23]]},"issued":{"date-parts":[["2022",8,15]]}}}],"schema":"https://github.com/citation-style-language/schema/raw/master/csl-citation.json"} </w:instrText>
      </w:r>
      <w:r>
        <w:fldChar w:fldCharType="separate"/>
      </w:r>
      <w:r w:rsidRPr="00654FA1">
        <w:rPr>
          <w:szCs w:val="24"/>
        </w:rPr>
        <w:t>Government of Canada, “Housing Experiences in Canada,” August 15, 2022.</w:t>
      </w:r>
      <w:r>
        <w:fldChar w:fldCharType="end"/>
      </w:r>
    </w:p>
  </w:footnote>
  <w:footnote w:id="47">
    <w:p w14:paraId="79B2DBBF" w14:textId="55187F4D" w:rsidR="00725AE9" w:rsidRPr="00F657BA" w:rsidRDefault="00725AE9" w:rsidP="00D515E4">
      <w:pPr>
        <w:pStyle w:val="FootnoteText"/>
        <w:rPr>
          <w:lang w:val="en-CA"/>
        </w:rPr>
      </w:pPr>
      <w:r>
        <w:rPr>
          <w:rStyle w:val="FootnoteReference"/>
        </w:rPr>
        <w:footnoteRef/>
      </w:r>
      <w:r>
        <w:t xml:space="preserve"> </w:t>
      </w:r>
      <w:r>
        <w:fldChar w:fldCharType="begin"/>
      </w:r>
      <w:r w:rsidR="003952A5">
        <w:instrText xml:space="preserve"> ADDIN ZOTERO_ITEM CSL_CITATION {"citationID":"Da3NRhO1","properties":{"formattedCitation":"Thurston and Randle, \\uc0\\u8220{}Housing Experiences in Canada: Status First Nations People in 2016.\\uc0\\u8221{}","plainCitation":"Thurston and Randle, “Housing Experiences in Canada: Status First Nations People in 2016.”","noteIndex":47},"citationItems":[{"id":15630,"uris":["http://zotero.org/users/2949335/items/3RWPNJZ2"],"itemData":{"id":15630,"type":"article-journal","language":"en","page":"13","source":"Zotero","title":"Housing Experiences in Canada: Status First Nations people in 2016","author":[{"family":"Thurston","given":"Zachary"},{"family":"Randle","given":"Jeff"}],"issued":{"date-parts":[["2016"]]}}}],"schema":"https://github.com/citation-style-language/schema/raw/master/csl-citation.json"} </w:instrText>
      </w:r>
      <w:r>
        <w:fldChar w:fldCharType="separate"/>
      </w:r>
      <w:r w:rsidRPr="00654FA1">
        <w:rPr>
          <w:szCs w:val="24"/>
        </w:rPr>
        <w:t>Thurston and Randle, “Housing Experiences in Canada: Status First Nations People in 2016.”</w:t>
      </w:r>
      <w:r>
        <w:fldChar w:fldCharType="end"/>
      </w:r>
    </w:p>
  </w:footnote>
  <w:footnote w:id="48">
    <w:p w14:paraId="5DA537E1" w14:textId="35E7DE82" w:rsidR="00725AE9" w:rsidRPr="00654FA1" w:rsidRDefault="00725AE9" w:rsidP="00D515E4">
      <w:pPr>
        <w:pStyle w:val="FootnoteText"/>
        <w:rPr>
          <w:lang w:val="en-CA"/>
        </w:rPr>
      </w:pPr>
      <w:r>
        <w:rPr>
          <w:rStyle w:val="FootnoteReference"/>
        </w:rPr>
        <w:footnoteRef/>
      </w:r>
      <w:r>
        <w:t xml:space="preserve"> </w:t>
      </w:r>
      <w:r>
        <w:fldChar w:fldCharType="begin"/>
      </w:r>
      <w:r w:rsidR="003952A5">
        <w:instrText xml:space="preserve"> ADDIN ZOTERO_ITEM CSL_CITATION {"citationID":"7hg9AZVq","properties":{"formattedCitation":"Government of Canada, \\uc0\\u8220{}Housing Experiences in Canada,\\uc0\\u8221{} August 15, 2022.","plainCitation":"Government of Canada, “Housing Experiences in Canada,” August 15, 2022.","noteIndex":48},"citationItems":[{"id":15633,"uris":["http://zotero.org/users/2949335/items/3PV6VLXQ"],"itemData":{"id":15633,"type":"webpage","abstract":"This article about Métis is part of the Housing Experiences in Canada fact sheet series. This series focuses on housing indicators that provide information on the housing experiences of different population groups, with a focus on those identified in legislation that recognizes housing as a human right.","language":"eng","note":"Last Modified: 2022-08-15","title":"Housing experiences in Canada: Métis in 2016","title-short":"Housing experiences in Canada","URL":"https://www150.statcan.gc.ca/n1/pub/46-28-0001/2021001/article/00014-eng.htm","author":[{"family":"Government of Canada","given":"Statistics Canada"}],"accessed":{"date-parts":[["2022",9,23]]},"issued":{"date-parts":[["2022",8,15]]}}}],"schema":"https://github.com/citation-style-language/schema/raw/master/csl-citation.json"} </w:instrText>
      </w:r>
      <w:r>
        <w:fldChar w:fldCharType="separate"/>
      </w:r>
      <w:r w:rsidRPr="00654FA1">
        <w:rPr>
          <w:szCs w:val="24"/>
        </w:rPr>
        <w:t>Government of Canada, “Housing Experiences in Canada,” August 15, 2022.</w:t>
      </w:r>
      <w:r>
        <w:fldChar w:fldCharType="end"/>
      </w:r>
    </w:p>
  </w:footnote>
  <w:footnote w:id="49">
    <w:p w14:paraId="265D9891" w14:textId="3ACC566B" w:rsidR="00725AE9" w:rsidRPr="00CE6775" w:rsidRDefault="00725AE9" w:rsidP="00D515E4">
      <w:pPr>
        <w:pStyle w:val="FootnoteText"/>
        <w:rPr>
          <w:lang w:val="en-CA"/>
        </w:rPr>
      </w:pPr>
      <w:r>
        <w:rPr>
          <w:rStyle w:val="FootnoteReference"/>
        </w:rPr>
        <w:footnoteRef/>
      </w:r>
      <w:r>
        <w:t xml:space="preserve"> </w:t>
      </w:r>
      <w:r>
        <w:fldChar w:fldCharType="begin"/>
      </w:r>
      <w:r w:rsidR="003952A5">
        <w:instrText xml:space="preserve"> ADDIN ZOTERO_ITEM CSL_CITATION {"citationID":"p1fMa2Fs","properties":{"formattedCitation":"Government of Canada, \\uc0\\u8220{}Core Housing Need, 2016 Census.\\uc0\\u8221{}","plainCitation":"Government of Canada, “Core Housing Need, 2016 Census.”","noteIndex":49},"citationItems":[{"id":15631,"uris":["http://zotero.org/users/2949335/items/DRD23YFR"],"itemData":{"id":15631,"type":"webpage","abstract":"Statistics Canada, in collaboration with the Canada Mortgage and Housing Corporation (CMHC), presents information on 'core housing need.'","language":"eng","note":"Last Modified: 2017-11-15","title":"Core housing need, 2016 Census","URL":"https://www12.statcan.gc.ca/census-recensement/2016/dp-pd/chn-biml/index-eng.cfm","author":[{"family":"Government of Canada","given":"Statistics Canada"}],"accessed":{"date-parts":[["2022",9,23]]},"issued":{"date-parts":[["2017",11,15]]}}}],"schema":"https://github.com/citation-style-language/schema/raw/master/csl-citation.json"} </w:instrText>
      </w:r>
      <w:r>
        <w:fldChar w:fldCharType="separate"/>
      </w:r>
      <w:r w:rsidRPr="00CE6775">
        <w:rPr>
          <w:szCs w:val="24"/>
        </w:rPr>
        <w:t>Government of Canada, “Core Housing Need, 2016 Census.”</w:t>
      </w:r>
      <w:r>
        <w:fldChar w:fldCharType="end"/>
      </w:r>
    </w:p>
  </w:footnote>
  <w:footnote w:id="50">
    <w:p w14:paraId="5C40A53C" w14:textId="44DCBA15" w:rsidR="00D0646C" w:rsidRPr="00D0646C" w:rsidRDefault="00D0646C"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{"citationID":"mksmOrs2","properties":{"formattedCitation":"Government of Canada, \\uc0\\u8220{}Examining the Implementation of Indigenous Commercial Fishing Rights.\\uc0\\u8221{}","plainCitation":"Government of Canada, “Examining the Implementation of Indigenous Commercial Fishing Rights.”","noteIndex":50},"citationItems":[{"id":15296,"uris":["http://zotero.org/users/2949335/items/PV6J3L5X"],"itemData":{"id":15296,"type":"webpage","abstract":"The Government of Canada is committed to open government, which is being pursued along three streams: open data, open information and open dialogue. The goal is to drive innovation and to foster economic opportunities for all Canadians.","language":"eng","note":"Last Modified: 2021-10-07","title":"Examining the implementation of Indigenous commercial fishing rights","URL":"https://www.dfo-mpo.gc.ca/transparency-transparence/briefing-breffage/2021/livelihood-subsistance-senate-senat-eng.htm","author":[{"family":"Government of Canada","given":"Fisheries and Oceans Canada"}],"accessed":{"date-parts":[["2022",8,7]]},"issued":{"date-parts":[["2021",10,7]]}}}],"schema":"https://github.com/citation-style-language/schema/raw/master/csl-citation.json"} </w:instrText>
      </w:r>
      <w:r>
        <w:fldChar w:fldCharType="separate"/>
      </w:r>
      <w:r w:rsidRPr="00D0646C">
        <w:rPr>
          <w:szCs w:val="24"/>
        </w:rPr>
        <w:t>Government of Canada, “Examining the Implementation of Indigenous Commercial Fishing Rights.”</w:t>
      </w:r>
      <w:r>
        <w:fldChar w:fldCharType="end"/>
      </w:r>
    </w:p>
  </w:footnote>
  <w:footnote w:id="51">
    <w:p w14:paraId="4A6FEEB8" w14:textId="77777777" w:rsidR="0052624A" w:rsidRDefault="0052624A" w:rsidP="00D515E4">
      <w:pPr>
        <w:pStyle w:val="Footnotes"/>
      </w:pPr>
    </w:p>
    <w:p w14:paraId="46D948A5" w14:textId="77777777" w:rsidR="0052624A" w:rsidRDefault="0052624A" w:rsidP="00D515E4">
      <w:pPr>
        <w:pStyle w:val="Footnotes"/>
      </w:pPr>
    </w:p>
    <w:p w14:paraId="18C4C812" w14:textId="77777777" w:rsidR="0052624A" w:rsidRDefault="0052624A" w:rsidP="00D515E4">
      <w:pPr>
        <w:pStyle w:val="Footnotes"/>
      </w:pPr>
    </w:p>
  </w:footnote>
  <w:footnote w:id="52">
    <w:p w14:paraId="0E19AFB6" w14:textId="51214BFD" w:rsidR="00B06B8A" w:rsidRPr="004D2047" w:rsidRDefault="00B06B8A"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{"citationID":"w1XN61LS","properties":{"formattedCitation":"Waubetek Business Development Corporation, \\uc0\\u8220{}Waubetek Business Development Corporation - NICFI.\\uc0\\u8221{}","plainCitation":"Waubetek Business Development Corporation, “Waubetek Business Development Corporation - NICFI.”","noteIndex":52},"citationItems":[{"id":15272,"uris":["http://zotero.org/users/2949335/items/EZLGLBKU"],"itemData":{"id":15272,"type":"webpage","title":"Waubetek Business Development Corporation - NICFI","URL":"https://www.waubetek.com/nicfi","author":[{"literal":"Waubetek Business Development Corporation"}],"accessed":{"date-parts":[["2022",8,6]]}}}],"schema":"https://github.com/citation-style-language/schema/raw/master/csl-citation.json"} </w:instrText>
      </w:r>
      <w:r>
        <w:fldChar w:fldCharType="separate"/>
      </w:r>
      <w:r w:rsidRPr="004D2047">
        <w:rPr>
          <w:szCs w:val="24"/>
        </w:rPr>
        <w:t>Waubetek Business Development Corporation, “Waubetek Business Development Corporation - NICFI.”</w:t>
      </w:r>
      <w:r>
        <w:fldChar w:fldCharType="end"/>
      </w:r>
    </w:p>
  </w:footnote>
  <w:footnote w:id="53">
    <w:p w14:paraId="51999C1C" w14:textId="6B1717E7" w:rsidR="008751CE" w:rsidRPr="008751CE" w:rsidRDefault="008751CE"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{"citationID":"pISzDNJM","properties":{"formattedCitation":"\\uc0\\u8220{}OUR STORY \\uc0\\u171{}\\uc0\\u8239{}Native Fishing Association.\\uc0\\u8221{}","plainCitation":"“OUR STORY « Native Fishing Association.”","noteIndex":53},"citationItems":[{"id":15268,"uris":["http://zotero.org/users/2949335/items/XVUD7KT3"],"itemData":{"id":15268,"type":"post-weblog","abstract":"Native, Fishing","language":"en-CA","title":"OUR STORY « Native Fishing Association","URL":"https://www.shoal.ca/a-success-story/","accessed":{"date-parts":[["2022",8,6]]}}}],"schema":"https://github.com/citation-style-language/schema/raw/master/csl-citation.json"} </w:instrText>
      </w:r>
      <w:r>
        <w:fldChar w:fldCharType="separate"/>
      </w:r>
      <w:r w:rsidRPr="008751CE">
        <w:rPr>
          <w:szCs w:val="24"/>
        </w:rPr>
        <w:t>“OUR STORY « Native Fishing Association.”</w:t>
      </w:r>
      <w:r>
        <w:fldChar w:fldCharType="end"/>
      </w:r>
    </w:p>
  </w:footnote>
  <w:footnote w:id="54">
    <w:p w14:paraId="69518679" w14:textId="67A73487" w:rsidR="008751CE" w:rsidRPr="008751CE" w:rsidRDefault="008751CE"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{"citationID":"gxDEvJ7H","properties":{"formattedCitation":"\\uc0\\u8220{}LOANS \\uc0\\u171{}\\uc0\\u8239{}Native Fishing Association.\\uc0\\u8221{}","plainCitation":"“LOANS « Native Fishing Association.”","noteIndex":54},"citationItems":[{"id":15270,"uris":["http://zotero.org/users/2949335/items/3FDRAPMB"],"itemData":{"id":15270,"type":"post-weblog","abstract":"Native, Fishing","language":"en-CA","title":"LOANS « Native Fishing Association","URL":"https://www.shoal.ca/additional-fishing-information/loans-and-leases/","accessed":{"date-parts":[["2022",8,6]]}}}],"schema":"https://github.com/citation-style-language/schema/raw/master/csl-citation.json"} </w:instrText>
      </w:r>
      <w:r>
        <w:fldChar w:fldCharType="separate"/>
      </w:r>
      <w:r w:rsidRPr="008751CE">
        <w:rPr>
          <w:szCs w:val="24"/>
        </w:rPr>
        <w:t>“LOANS « Native Fishing Association.”</w:t>
      </w:r>
      <w:r>
        <w:fldChar w:fldCharType="end"/>
      </w:r>
    </w:p>
  </w:footnote>
  <w:footnote w:id="55">
    <w:p w14:paraId="0D3DC6A4" w14:textId="5F1745C8" w:rsidR="0085362E" w:rsidRPr="0085362E" w:rsidRDefault="0085362E"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{"citationID":"HldqzEmd","properties":{"formattedCitation":"\\uc0\\u8220{}New, Lucrative First Nations Oyster Farm a Sign of Good Things to Come.\\uc0\\u8221{}","plainCitation":"“New, Lucrative First Nations Oyster Farm a Sign of Good Things to Come.”","noteIndex":55},"citationItems":[{"id":15298,"uris":["http://zotero.org/users/2949335/items/IYPQ6QVW"],"itemData":{"id":15298,"type":"webpage","abstract":"Tla’amin Nation has owned tenures in the Okeover and Theodosia areas for over 45 years and the business arm, Tla’amin Management Services LP, re-enter...","container-title":"thestar.com","language":"en","note":"section: Canada","title":"New, lucrative First Nations oyster farm a sign of good things to come","URL":"https://www.thestar.com/news/canada/2021/08/31/new-lucrative-first-nations-oyster-farm-a-sign-of-good-things-to-come.html","accessed":{"date-parts":[["2022",8,7]]},"issued":{"date-parts":[["2021",8,31]]}}}],"schema":"https://github.com/citation-style-language/schema/raw/master/csl-citation.json"} </w:instrText>
      </w:r>
      <w:r>
        <w:fldChar w:fldCharType="separate"/>
      </w:r>
      <w:r w:rsidRPr="0085362E">
        <w:rPr>
          <w:szCs w:val="24"/>
        </w:rPr>
        <w:t>“New, Lucrative First Nations Oyster Farm a Sign of Good Things to Come.”</w:t>
      </w:r>
      <w:r>
        <w:fldChar w:fldCharType="end"/>
      </w:r>
    </w:p>
  </w:footnote>
  <w:footnote w:id="56">
    <w:p w14:paraId="0F4BF695" w14:textId="46AC2C6F" w:rsidR="004D2047" w:rsidRPr="004D2047" w:rsidRDefault="004D2047"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{"citationID":"HRPadXzu","properties":{"formattedCitation":"Waubetek Business Development Corporation, \\uc0\\u8220{}Waubetek Business Development Corporation - NICFI.\\uc0\\u8221{}","plainCitation":"Waubetek Business Development Corporation, “Waubetek Business Development Corporation - NICFI.”","noteIndex":56},"citationItems":[{"id":15272,"uris":["http://zotero.org/users/2949335/items/EZLGLBKU"],"itemData":{"id":15272,"type":"webpage","title":"Waubetek Business Development Corporation - NICFI","URL":"https://www.waubetek.com/nicfi","author":[{"literal":"Waubetek Business Development Corporation"}],"accessed":{"date-parts":[["2022",8,6]]}}}],"schema":"https://github.com/citation-style-language/schema/raw/master/csl-citation.json"} </w:instrText>
      </w:r>
      <w:r>
        <w:fldChar w:fldCharType="separate"/>
      </w:r>
      <w:r w:rsidRPr="004D2047">
        <w:rPr>
          <w:szCs w:val="24"/>
        </w:rPr>
        <w:t>Waubetek Business Development Corporation, “Waubetek Business Development Corporation - NICFI.”</w:t>
      </w:r>
      <w:r>
        <w:fldChar w:fldCharType="end"/>
      </w:r>
    </w:p>
  </w:footnote>
  <w:footnote w:id="57">
    <w:p w14:paraId="0A76907B" w14:textId="0DE7C78B" w:rsidR="004D2047" w:rsidRPr="004D2047" w:rsidRDefault="004D2047"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UMWsmuu0","properties":{"formattedCitation":"\\uc0\\u8220{}Spotlight.\\uc0\\u8221{}","plainCitation":"“Spotlight.”","noteIndex":57},"citationItems":[{"id":15274,"uris":["http://zotero.org/users/2949335/items/QDCMNYBA"],"itemData":{"id":15274,"type":"webpage","abstract":"The community is excited to see this sustainable and environmentally responsible project move forward","container-title":"Northern Ontario Business","language":"en","note":"section: Spotlight on Business","title":"Spotlight: Curve Lake First Nation aquaculture and hydroponic project on the horizon","title-short":"Spotlight","URL":"https://www.northernontariobusiness.com/spotlight/curve-lake-first-nation-aquaculture-and-hydroponic-project-on-the-horizon-5436644","accessed":{"date-parts":[["2022",8,6]]}}}],"schema":"https://github.com/citation-style-language/schema/raw/master/csl-citation.json"} </w:instrText>
      </w:r>
      <w:r>
        <w:fldChar w:fldCharType="separate"/>
      </w:r>
      <w:r w:rsidRPr="004D2047">
        <w:rPr>
          <w:szCs w:val="24"/>
        </w:rPr>
        <w:t>“Spotlight.”</w:t>
      </w:r>
      <w:r>
        <w:fldChar w:fldCharType="end"/>
      </w:r>
    </w:p>
  </w:footnote>
  <w:footnote w:id="58">
    <w:p w14:paraId="0B53F1B7" w14:textId="13C11F1C" w:rsidR="004D2047" w:rsidRPr="004D2047" w:rsidRDefault="004D2047"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{"citationID":"taamay9j","properties":{"formattedCitation":"Ibid.","plainCitation":"Ibid.","noteIndex":58},"citationItems":[{"id":15274,"uris":["http://zotero.org/users/2949335/items/QDCMNYBA"],"itemData":{"id":15274,"type":"webpage","abstract":"The community is excited to see this sustainable and environmentally responsible project move forward","container-title":"Northern Ontario Business","language":"en","note":"section: Spotlight on Business","title":"Spotlight: Curve Lake First Nation aquaculture and hydroponic project on the horizon","title-short":"Spotlight","URL":"https://www.northernontariobusiness.com/spotlight/curve-lake-first-nation-aquaculture-and-hydroponic-project-on-the-horizon-5436644","accessed":{"date-parts":[["2022",8,6]]}}}],"schema":"https://github.com/citation-style-language/schema/raw/master/csl-citation.json"} </w:instrText>
      </w:r>
      <w:r>
        <w:fldChar w:fldCharType="separate"/>
      </w:r>
      <w:r w:rsidRPr="004D2047">
        <w:t>Ibid.</w:t>
      </w:r>
      <w:r>
        <w:fldChar w:fldCharType="end"/>
      </w:r>
    </w:p>
  </w:footnote>
  <w:footnote w:id="59">
    <w:p w14:paraId="5ACECEE9" w14:textId="49220A16" w:rsidR="003730F9" w:rsidRPr="003730F9" w:rsidRDefault="003730F9"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{"citationID":"GCsLqKjc","properties":{"formattedCitation":"\\uc0\\u8220{}Aquaculture (Getigejig Nbiing).\\uc0\\u8221{}","plainCitation":"“Aquaculture (Getigejig Nbiing).”","noteIndex":59},"citationItems":[{"id":15278,"uris":["http://zotero.org/users/2949335/items/G9RX2JNZ"],"itemData":{"id":15278,"type":"webpage","container-title":"Anishinabek Agriculture &amp; Food","language":"en","title":"Aquaculture (Getigejig Nbiing)","URL":"https://anishinabekagriculture.ca/aquaculture/","accessed":{"date-parts":[["2022",8,6]]}}}],"schema":"https://github.com/citation-style-language/schema/raw/master/csl-citation.json"} </w:instrText>
      </w:r>
      <w:r>
        <w:fldChar w:fldCharType="separate"/>
      </w:r>
      <w:r w:rsidRPr="003730F9">
        <w:rPr>
          <w:szCs w:val="24"/>
        </w:rPr>
        <w:t>“Aquaculture (Getigejig Nbiing).”</w:t>
      </w:r>
      <w:r>
        <w:fldChar w:fldCharType="end"/>
      </w:r>
    </w:p>
  </w:footnote>
  <w:footnote w:id="60">
    <w:p w14:paraId="75F38B09" w14:textId="6804F3CA" w:rsidR="003730F9" w:rsidRPr="003730F9" w:rsidRDefault="003730F9"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{"citationID":"aFxqb3dI","properties":{"formattedCitation":"indigenousfisheries.ca, \\uc0\\u8220{}Aquaponics Project Delivers Fresh, Locally Grown Vegetables and Fish Year Round.\\uc0\\u8221{}","plainCitation":"indigenousfisheries.ca, “Aquaponics Project Delivers Fresh, Locally Grown Vegetables and Fish Year Round.”","noteIndex":60},"citationItems":[{"id":15277,"uris":["http://zotero.org/users/2949335/items/SB8VXVSH"],"itemData":{"id":15277,"type":"webpage","container-title":"Compendium of Indigenous Socio-economic Best Practises in Fisheries and Oceans Sectors","title":"Aquaponics Project Delivers Fresh, Locally Grown Vegetables and Fish Year Round","URL":"https://indigenousfisheries.ca/en/wp-content/uploads/2021/04/Aquaponics-Project-Delivers-Fresh-Locally-Grown-Vegetables-and-Fish-Year-Round.pdf","author":[{"literal":"indigenousfisheries.ca"}],"accessed":{"date-parts":[["2022",8,6]]}}}],"schema":"https://github.com/citation-style-language/schema/raw/master/csl-citation.json"} </w:instrText>
      </w:r>
      <w:r>
        <w:fldChar w:fldCharType="separate"/>
      </w:r>
      <w:r w:rsidR="006A2A63" w:rsidRPr="006A2A63">
        <w:rPr>
          <w:szCs w:val="24"/>
        </w:rPr>
        <w:t>indigenousfisheries.ca, “Aquaponics Project Delivers Fresh, Locally Grown Vegetables and Fish Year Round.”</w:t>
      </w:r>
      <w:r>
        <w:fldChar w:fldCharType="end"/>
      </w:r>
    </w:p>
  </w:footnote>
  <w:footnote w:id="61">
    <w:p w14:paraId="22FB197C" w14:textId="12C6C199" w:rsidR="002F086D" w:rsidRPr="002F086D" w:rsidRDefault="002F086D"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{"citationID":"z0Oe5x8Z","properties":{"formattedCitation":"Bellemare, \\uc0\\u8220{}No Land?\\uc0\\u8221{}","plainCitation":"Bellemare, “No Land?”","noteIndex":61},"citationItems":[{"id":15280,"uris":["http://zotero.org/users/2949335/items/8A5UHAGB"],"itemData":{"id":15280,"type":"webpage","abstract":"It can be much harder for First Nations people living on reserve to get a bank loan. Because they don't legally own the land they live on, they can't use it as collateral.","container-title":"CBC","language":"en","title":"No land? No loan. Why it's hard to borrow money from a bank if you live on reserve | CBC Radio","title-short":"No land?","URL":"https://www.cbc.ca/radio/costofliving/bank-loans-first-nations-land-collateral-1.6499508","author":[{"family":"Bellemare","given":"Andrea"}],"accessed":{"date-parts":[["2022",8,6]]},"issued":{"date-parts":[["2022",6,25]]}}}],"schema":"https://github.com/citation-style-language/schema/raw/master/csl-citation.json"} </w:instrText>
      </w:r>
      <w:r>
        <w:fldChar w:fldCharType="separate"/>
      </w:r>
      <w:r w:rsidRPr="002F086D">
        <w:rPr>
          <w:szCs w:val="24"/>
        </w:rPr>
        <w:t>Bellemare, “No Land?”</w:t>
      </w:r>
      <w:r>
        <w:fldChar w:fldCharType="end"/>
      </w:r>
    </w:p>
  </w:footnote>
  <w:footnote w:id="62">
    <w:p w14:paraId="0CF6305B" w14:textId="4D0E6ECA" w:rsidR="002F086D" w:rsidRPr="002F086D" w:rsidRDefault="002F086D"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{"citationID":"kWDeUID7","properties":{"formattedCitation":"Ibid.","plainCitation":"Ibid.","noteIndex":62},"citationItems":[{"id":15280,"uris":["http://zotero.org/users/2949335/items/8A5UHAGB"],"itemData":{"id":15280,"type":"webpage","abstract":"It can be much harder for First Nations people living on reserve to get a bank loan. Because they don't legally own the land they live on, they can't use it as collateral.","container-title":"CBC","language":"en","title":"No land? No loan. Why it's hard to borrow money from a bank if you live on reserve | CBC Radio","title-short":"No land?","URL":"https://www.cbc.ca/radio/costofliving/bank-loans-first-nations-land-collateral-1.6499508","author":[{"family":"Bellemare","given":"Andrea"}],"accessed":{"date-parts":[["2022",8,6]]},"issued":{"date-parts":[["2022",6,25]]}}}],"schema":"https://github.com/citation-style-language/schema/raw/master/csl-citation.json"} </w:instrText>
      </w:r>
      <w:r>
        <w:fldChar w:fldCharType="separate"/>
      </w:r>
      <w:r w:rsidRPr="002F086D">
        <w:t>Ibid.</w:t>
      </w:r>
      <w:r>
        <w:fldChar w:fldCharType="end"/>
      </w:r>
    </w:p>
  </w:footnote>
  <w:footnote w:id="63">
    <w:p w14:paraId="1601F3AC" w14:textId="449B6675" w:rsidR="006A2A63" w:rsidRPr="006A2A63" w:rsidRDefault="006A2A63"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{"citationID":"1bU9xrLG","properties":{"formattedCitation":"\\uc0\\u8220{}Agriculture / Live Stock Financing | Indian Business Corporation (IBC).\\uc0\\u8221{}","plainCitation":"“Agriculture / Live Stock Financing | Indian Business Corporation (IBC).”","noteIndex":63},"citationItems":[{"id":15282,"uris":["http://zotero.org/users/2949335/items/3FEN2EU4"],"itemData":{"id":15282,"type":"webpage","title":"Agriculture / Live Stock Financing | Indian Business Corporation (IBC)","URL":"http://www.indianbc.ca/agriculture.php","accessed":{"date-parts":[["2022",8,6]]}}}],"schema":"https://github.com/citation-style-language/schema/raw/master/csl-citation.json"} </w:instrText>
      </w:r>
      <w:r>
        <w:fldChar w:fldCharType="separate"/>
      </w:r>
      <w:r w:rsidRPr="006A2A63">
        <w:rPr>
          <w:szCs w:val="24"/>
        </w:rPr>
        <w:t>“Agriculture / Live Stock Financing | Indian Business Corporation (IBC).”</w:t>
      </w:r>
      <w:r>
        <w:fldChar w:fldCharType="end"/>
      </w:r>
    </w:p>
  </w:footnote>
  <w:footnote w:id="64">
    <w:p w14:paraId="328B3D40" w14:textId="15E38976" w:rsidR="006A2A63" w:rsidRPr="006A2A63" w:rsidRDefault="006A2A63"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{"citationID":"vHf10QC2","properties":{"formattedCitation":"IAPO, \\uc0\\u8220{}IAPO \\uc0\\u8211{} More than Farm and Agribusiness Financing.\\uc0\\u8221{}","plainCitation":"IAPO, “IAPO – More than Farm and Agribusiness Financing.”","noteIndex":64},"citationItems":[{"id":15284,"uris":["http://zotero.org/users/2949335/items/7BZFJ3NT"],"itemData":{"id":15284,"type":"webpage","abstract":"IAPO – More than farm and agribusiness financing\nEstablished in 1984, IAPO is a First Nation not for profit corporation which endeavours to empower First Nation communities through financial support and training for farmers.\n\nIf you're a First Nation farmer or agribusiness owner in Ontario, we can assist you with financing, advisory services,","container-title":"IAPO","language":"en-US","title":"IAPO – More than farm and agribusiness financing","URL":"http://indianag.on.ca/about/","author":[{"literal":"IAPO"}],"accessed":{"date-parts":[["2022",8,6]]}}}],"schema":"https://github.com/citation-style-language/schema/raw/master/csl-citation.json"} </w:instrText>
      </w:r>
      <w:r>
        <w:fldChar w:fldCharType="separate"/>
      </w:r>
      <w:r w:rsidRPr="006A2A63">
        <w:rPr>
          <w:szCs w:val="24"/>
        </w:rPr>
        <w:t>IAPO, “IAPO – More than Farm and Agribusiness Financing.”</w:t>
      </w:r>
      <w:r>
        <w:fldChar w:fldCharType="end"/>
      </w:r>
    </w:p>
  </w:footnote>
  <w:footnote w:id="65">
    <w:p w14:paraId="093BC574" w14:textId="13CB3E99" w:rsidR="00360863" w:rsidRPr="00360863" w:rsidRDefault="00360863" w:rsidP="00D515E4">
      <w:pPr>
        <w:pStyle w:val="Footnotes"/>
        <w:rPr>
          <w:lang w:val="en-CA"/>
        </w:rPr>
      </w:pPr>
      <w:r>
        <w:rPr>
          <w:rStyle w:val="FootnoteReference"/>
        </w:rPr>
        <w:footnoteRef/>
      </w:r>
      <w:r>
        <w:t xml:space="preserve"> In</w:t>
      </w:r>
      <w:r w:rsidRPr="00360863">
        <w:t xml:space="preserve"> 2013 the IAPO </w:t>
      </w:r>
      <w:r>
        <w:t>expanded its financing services</w:t>
      </w:r>
      <w:r w:rsidRPr="00360863">
        <w:t xml:space="preserve"> to </w:t>
      </w:r>
      <w:r>
        <w:t xml:space="preserve">included </w:t>
      </w:r>
      <w:r w:rsidRPr="00360863">
        <w:t xml:space="preserve">general business </w:t>
      </w:r>
      <w:r>
        <w:t>loans</w:t>
      </w:r>
      <w:r w:rsidRPr="00360863">
        <w:t xml:space="preserve"> with clients in construction, transportation, trucking, retail, </w:t>
      </w:r>
      <w:r w:rsidR="00E706E5" w:rsidRPr="00360863">
        <w:t>service,</w:t>
      </w:r>
      <w:r w:rsidRPr="00360863">
        <w:t xml:space="preserve"> and manufacturing businesses.</w:t>
      </w:r>
    </w:p>
  </w:footnote>
  <w:footnote w:id="66">
    <w:p w14:paraId="2642DCA3" w14:textId="03CB452D" w:rsidR="00D97460" w:rsidRPr="00B5077D" w:rsidRDefault="00D97460"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{"citationID":"REFcjGvz","properties":{"formattedCitation":"IAPO, \\uc0\\u8220{}First Nations Agriculture for Seven Generations.\\uc0\\u8221{}","plainCitation":"IAPO, “First Nations Agriculture for Seven Generations.”","noteIndex":66},"citationItems":[{"id":15287,"uris":["http://zotero.org/users/2949335/items/352JH5A8"],"itemData":{"id":15287,"type":"webpage","title":"First Nations Agriculture for Seven Generations","URL":"http://indianag.on.ca/wp-content/uploads/2022/04/FN-Ag-7-Gen-Virtual-Flyer.pdf","author":[{"literal":"IAPO"}],"accessed":{"date-parts":[["2022",8,6]]}}}],"schema":"https://github.com/citation-style-language/schema/raw/master/csl-citation.json"} </w:instrText>
      </w:r>
      <w:r>
        <w:fldChar w:fldCharType="separate"/>
      </w:r>
      <w:r w:rsidRPr="00B5077D">
        <w:rPr>
          <w:szCs w:val="24"/>
        </w:rPr>
        <w:t>IAPO, “First Nations Agriculture for Seven Generations.”</w:t>
      </w:r>
      <w:r>
        <w:fldChar w:fldCharType="end"/>
      </w:r>
    </w:p>
  </w:footnote>
  <w:footnote w:id="67">
    <w:p w14:paraId="37C3B57D" w14:textId="0C7F862B" w:rsidR="00B5077D" w:rsidRPr="00B5077D" w:rsidRDefault="00B5077D"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{"citationID":"vVrnIsCh","properties":{"formattedCitation":"Ibid.","plainCitation":"Ibid.","noteIndex":67},"citationItems":[{"id":15287,"uris":["http://zotero.org/users/2949335/items/352JH5A8"],"itemData":{"id":15287,"type":"webpage","title":"First Nations Agriculture for Seven Generations","URL":"http://indianag.on.ca/wp-content/uploads/2022/04/FN-Ag-7-Gen-Virtual-Flyer.pdf","author":[{"literal":"IAPO"}],"accessed":{"date-parts":[["2022",8,6]]}}}],"schema":"https://github.com/citation-style-language/schema/raw/master/csl-citation.json"} </w:instrText>
      </w:r>
      <w:r>
        <w:fldChar w:fldCharType="separate"/>
      </w:r>
      <w:r w:rsidRPr="00B5077D">
        <w:t>Ibid.</w:t>
      </w:r>
      <w:r>
        <w:fldChar w:fldCharType="end"/>
      </w:r>
    </w:p>
  </w:footnote>
  <w:footnote w:id="68">
    <w:p w14:paraId="44F73583" w14:textId="1923F066" w:rsidR="00CD1DBF" w:rsidRPr="00CD1DBF" w:rsidRDefault="00CD1DBF"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{"citationID":"hZKmZVpd","properties":{"formattedCitation":"Tribal Resources Investment Corporation, \\uc0\\u8220{}TRICORP Annual Report - Success Stories 2019-2020,\\uc0\\u8221{} 13.","plainCitation":"Tribal Resources Investment Corporation, “TRICORP Annual Report - Success Stories 2019-2020,” 13.","noteIndex":68},"citationItems":[{"id":15291,"uris":["http://zotero.org/users/2949335/items/JFXU453N"],"itemData":{"id":15291,"type":"article-journal","language":"en","page":"20","source":"Zotero","title":"TRICORP Annual Report - Success Stories 2019-2020","author":[{"literal":"Tribal Resources Investment Corporation"}],"issued":{"date-parts":[["2020"]]}},"locator":"13","label":"page"}],"schema":"https://github.com/citation-style-language/schema/raw/master/csl-citation.json"} </w:instrText>
      </w:r>
      <w:r>
        <w:fldChar w:fldCharType="separate"/>
      </w:r>
      <w:r w:rsidRPr="00CD1DBF">
        <w:rPr>
          <w:szCs w:val="24"/>
        </w:rPr>
        <w:t>Tribal Resources Investment Corporation, “TRICORP Annual Report - Success Stories 2019-2020,” 13.</w:t>
      </w:r>
      <w:r>
        <w:fldChar w:fldCharType="end"/>
      </w:r>
    </w:p>
  </w:footnote>
  <w:footnote w:id="69">
    <w:p w14:paraId="24B01184" w14:textId="760C6C01" w:rsidR="00CD1DBF" w:rsidRPr="00CD1DBF" w:rsidRDefault="00CD1DBF"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{"citationID":"YdyWqKN9","properties":{"formattedCitation":"Tribal Resources Investment Corporation, \\uc0\\u8220{}TRICORP Annual Report - Success Stories 2019-2020.\\uc0\\u8221{}","plainCitation":"Tribal Resources Investment Corporation, “TRICORP Annual Report - Success Stories 2019-2020.”","noteIndex":69},"citationItems":[{"id":15291,"uris":["http://zotero.org/users/2949335/items/JFXU453N"],"itemData":{"id":15291,"type":"article-journal","language":"en","page":"20","source":"Zotero","title":"TRICORP Annual Report - Success Stories 2019-2020","author":[{"literal":"Tribal Resources Investment Corporation"}],"issued":{"date-parts":[["2020"]]}}}],"schema":"https://github.com/citation-style-language/schema/raw/master/csl-citation.json"} </w:instrText>
      </w:r>
      <w:r>
        <w:fldChar w:fldCharType="separate"/>
      </w:r>
      <w:r w:rsidRPr="00CD1DBF">
        <w:rPr>
          <w:szCs w:val="24"/>
        </w:rPr>
        <w:t>Tribal Resources Investment Corporation, “TRICORP Annual Report - Success Stories 2019-2020.”</w:t>
      </w:r>
      <w:r>
        <w:fldChar w:fldCharType="end"/>
      </w:r>
    </w:p>
  </w:footnote>
  <w:footnote w:id="70">
    <w:p w14:paraId="3E2F56B9" w14:textId="7AF4F1BD" w:rsidR="00B5077D" w:rsidRPr="00B5077D" w:rsidRDefault="00B5077D"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{"citationID":"sG3VRVOD","properties":{"formattedCitation":"Drum, April 27, and 2016, \\uc0\\u8220{}Port Investment in Kitkatla Kitchen and Greenhouse Benefits Skill Development and Community Nutrition.\\uc0\\u8221{}","plainCitation":"Drum, April 27, and 2016, “Port Investment in Kitkatla Kitchen and Greenhouse Benefits Skill Development and Community Nutrition.”","noteIndex":70},"citationItems":[{"id":15288,"uris":["http://zotero.org/users/2949335/items/SC5P2RU4"],"itemData":{"id":15288,"type":"webpage","abstract":"PRINCE RUPERT, BRITISH COLUMBIA — The Port of Prince Rupert announced today that a $244,000 investment from its Community Investment... Read more »","container-title":"First Nations Drum Newspaper","title":"Port Investment in Kitkatla Kitchen and Greenhouse Benefits Skill Development and Community Nutrition","URL":"http://www.firstnationsdrum.com/2016/04/port-investment-in-kitkatla-kitchen-and-greenhouse-benefits-skill-development-and-community-nutrition/","author":[{"family":"Drum","given":"First Nations"},{"family":"April 27","given":""},{"literal":"2016"}],"accessed":{"date-parts":[["2022",8,6]]},"issued":{"date-parts":[["2016",4,27]]}}}],"schema":"https://github.com/citation-style-language/schema/raw/master/csl-citation.json"} </w:instrText>
      </w:r>
      <w:r>
        <w:fldChar w:fldCharType="separate"/>
      </w:r>
      <w:r w:rsidRPr="00B5077D">
        <w:rPr>
          <w:szCs w:val="24"/>
        </w:rPr>
        <w:t>Drum, April 27, and 2016, “Port Investment in Kitkatla Kitchen and Greenhouse Benefits Skill Development and Community Nutrition.”</w:t>
      </w:r>
      <w:r>
        <w:fldChar w:fldCharType="end"/>
      </w:r>
    </w:p>
  </w:footnote>
  <w:footnote w:id="71">
    <w:p w14:paraId="685C1632" w14:textId="07D10442" w:rsidR="00B53A88" w:rsidRPr="00B53A88" w:rsidRDefault="00B53A88"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{"citationID":"GxL0EKP8","properties":{"formattedCitation":"Wilson, \\uc0\\u8220{}Therapeutic Landscapes and First Nations Peoples: An Exploration of Culture, Health and Place.\\uc0\\u8221{}","plainCitation":"Wilson, “Therapeutic Landscapes and First Nations Peoples: An Exploration of Culture, Health and Place.”","noteIndex":71},"citationItems":[{"id":15292,"uris":["http://zotero.org/users/2949335/items/85VG59SL"],"itemData":{"id":15292,"type":"article-journal","abstract":"This paper contributes to an expanding body of research within Health Geography that focuses on the role of therapeutic landscapes in shaping health. Therapeutic landscapes demonstrate the importance of places for maintaining physical, emotional, mental and spiritual health. Meanings of place and the relationship between place and health have culturally specific dimensions, yet these tend to be overlooked especially with respect to First Nations peoples. This paper broadens the analysis of therapeutic landscapes by exploring their culturally specific dimensions in the context of the everyday lives of ‘Anishinabek’ and thus contributes to a better understanding of First Nations peoples. First Nations peoples contend that the relationship they have with the land shapes the cultural, spiritual, emotional, physical and social lives of individuals and communities. While geographic research has explored First Nations peoples health, few studies have attempted to explore the influence of cultural beliefs and values on health—let alone the intricate link between the land and health. This paper presents the results of 17 in-depth interviews conducted with Anishinabek (Ojibway and Odawa) living in one First Nations community in northern Ontario, Canada. The findings from the interviews demonstrate that culture is an important component of the link between health and place in everyday life. Incorporating First Nations peoples’ perspectives of health and place reveals that the current conceptualizations of health and place within the Geography of Health literature are only partial.","container-title":"Health &amp; Place","DOI":"10.1016/S1353-8292(02)00016-3","ISSN":"1353-8292","issue":"2","journalAbbreviation":"Health &amp; Place","page":"83-93","title":"Therapeutic landscapes and First Nations peoples: an exploration of culture, health and place","volume":"9","author":[{"family":"Wilson","given":"Kathleen"}],"issued":{"date-parts":[["2003",6,1]]}}}],"schema":"https://github.com/citation-style-language/schema/raw/master/csl-citation.json"} </w:instrText>
      </w:r>
      <w:r>
        <w:fldChar w:fldCharType="separate"/>
      </w:r>
      <w:r w:rsidRPr="00B53A88">
        <w:rPr>
          <w:szCs w:val="24"/>
        </w:rPr>
        <w:t>Wilson, “Therapeutic Landscapes and First Nations Peoples: An Exploration of Culture, Health and Place.”</w:t>
      </w:r>
      <w:r>
        <w:fldChar w:fldCharType="end"/>
      </w:r>
    </w:p>
  </w:footnote>
  <w:footnote w:id="72">
    <w:p w14:paraId="5AB59337" w14:textId="27F6960B" w:rsidR="00AC120C" w:rsidRPr="003C7644" w:rsidRDefault="00AC120C" w:rsidP="00D515E4">
      <w:pPr>
        <w:pStyle w:val="FootnoteText"/>
        <w:rPr>
          <w:lang w:val="en-CA"/>
        </w:rPr>
      </w:pPr>
      <w:r>
        <w:rPr>
          <w:rStyle w:val="FootnoteReference"/>
        </w:rPr>
        <w:footnoteRef/>
      </w:r>
      <w:r>
        <w:t xml:space="preserve"> </w:t>
      </w:r>
      <w:r>
        <w:fldChar w:fldCharType="begin"/>
      </w:r>
      <w:r w:rsidR="003952A5">
        <w:instrText xml:space="preserve"> ADDIN ZOTERO_ITEM CSL_CITATION {"citationID":"uCchDxsU","properties":{"formattedCitation":"\\uc0\\u8220{}Over 600 Indigenous Tourism Businesses Apply for Indigenous Tourism Association of Canada\\uc0\\u8217{}s COVID-19 Development Stimulus Fund.,\\uc0\\u8221{} 600.","plainCitation":"“Over 600 Indigenous Tourism Businesses Apply for Indigenous Tourism Association of Canada’s COVID-19 Development Stimulus Fund.,” 600.","noteIndex":72},"citationItems":[{"id":15603,"uris":["http://zotero.org/users/2949335/items/XLCGQNZF"],"itemData":{"id":15603,"type":"post-weblog","abstract":"COAST SALISH TERRITORY (Vancouver, BC) –  Over 600 Indigenous tourism businesses across Canada have applied, requesting $14.4 million from a COVID-19 Development Stimulus Fund the Indigenous Tourism Association of Canada ( ITAC) set up in March, providing businesses with grants of up to $25,000 each to help Indigenous entrepreneurs and their businesses stay afloat during […]","container-title":"Indigenous Tourism Association of Canada","language":"en","title":"Over 600 Indigenous tourism businesses apply for Indigenous Tourism Association of Canada’s COVID-19 Development Stimulus Fund.","URL":"https://indigenoustourism.ca/over-600-indigenous-tourism-businesses-apply-for-indigenous-tourism-association-of-canadas-covid-19-development-stimulus-fund/","accessed":{"date-parts":[["2022",9,8]]},"issued":{"date-parts":[["2020",5,1]]}},"locator":"600"}],"schema":"https://github.com/citation-style-language/schema/raw/master/csl-citation.json"} </w:instrText>
      </w:r>
      <w:r>
        <w:fldChar w:fldCharType="separate"/>
      </w:r>
      <w:r w:rsidRPr="003C7644">
        <w:rPr>
          <w:szCs w:val="24"/>
        </w:rPr>
        <w:t>“Over 600 Indigenous Tourism Businesses Apply for Indigenous Tourism Association of Canada’s COVID-19 Development Stimulus Fund.,” 600.</w:t>
      </w:r>
      <w:r>
        <w:fldChar w:fldCharType="end"/>
      </w:r>
    </w:p>
  </w:footnote>
  <w:footnote w:id="73">
    <w:p w14:paraId="63DE86E3" w14:textId="32B39BB2" w:rsidR="00033DDC" w:rsidRPr="00631D39" w:rsidRDefault="00033DDC" w:rsidP="00D515E4">
      <w:pPr>
        <w:pStyle w:val="Footnotes"/>
        <w:rPr>
          <w:lang w:val="en-CA"/>
        </w:rPr>
      </w:pPr>
      <w:r>
        <w:rPr>
          <w:rStyle w:val="FootnoteReference"/>
        </w:rPr>
        <w:footnoteRef/>
      </w:r>
      <w:r>
        <w:t xml:space="preserve"> </w:t>
      </w:r>
      <w:r>
        <w:fldChar w:fldCharType="begin"/>
      </w:r>
      <w:r w:rsidR="003952A5">
        <w:instrText xml:space="preserve"> ADDIN ZOTERO_ITEM CSL_CITATION {"citationID":"wpkGcOPm","properties":{"formattedCitation":"Atuqtuarvik Corporation, \\uc0\\u8220{}Nunavut Sivuniksavut (NS) Program.\\uc0\\u8221{}","plainCitation":"Atuqtuarvik Corporation, “Nunavut Sivuniksavut (NS) Program.”","noteIndex":73},"citationItems":[{"id":15294,"uris":["http://zotero.org/users/2949335/items/LWRYVEW6"],"itemData":{"id":15294,"type":"webpage","title":"Nunavut Sivuniksavut (NS) Program","URL":"https://atuqtuarvik.com/sites/default/files/ns.pdf","author":[{"literal":"Atuqtuarvik Corporation"}],"accessed":{"date-parts":[["2022",8,6]]}}}],"schema":"https://github.com/citation-style-language/schema/raw/master/csl-citation.json"} </w:instrText>
      </w:r>
      <w:r>
        <w:fldChar w:fldCharType="separate"/>
      </w:r>
      <w:r w:rsidRPr="00FA0D31">
        <w:rPr>
          <w:szCs w:val="24"/>
        </w:rPr>
        <w:t>Atuqtuarvik Corporation, “Nunavut Sivuniksavut (NS) Program.”</w:t>
      </w:r>
      <w:r>
        <w:fldChar w:fldCharType="end"/>
      </w:r>
    </w:p>
  </w:footnote>
  <w:footnote w:id="74">
    <w:p w14:paraId="135DFEFF" w14:textId="637B8262" w:rsidR="005B62AB" w:rsidRPr="005B62AB" w:rsidRDefault="005B62AB">
      <w:pPr>
        <w:pStyle w:val="FootnoteText"/>
        <w:rPr>
          <w:lang w:val="en-CA"/>
        </w:rPr>
      </w:pPr>
      <w:r>
        <w:rPr>
          <w:rStyle w:val="FootnoteReference"/>
        </w:rPr>
        <w:footnoteRef/>
      </w:r>
      <w:r>
        <w:t xml:space="preserve"> </w:t>
      </w:r>
      <w:r>
        <w:fldChar w:fldCharType="begin"/>
      </w:r>
      <w:r>
        <w:instrText xml:space="preserve"> ADDIN ZOTERO_ITEM CSL_CITATION {"citationID":"EHQA7TCq","properties":{"formattedCitation":"\\uc0\\u8220{}About Asitu\\uc0\\u8217{}lisk.\\uc0\\u8221{}","plainCitation":"“About Asitu’lisk.”","noteIndex":74},"citationItems":[{"id":17573,"uris":["http://zotero.org/users/2949335/items/28L5DBY3"],"itemData":{"id":17573,"type":"post-weblog","abstract":"Asitu’lisk is 200-acres of ancient forest, waterways, and the riparian zones in between, located in Mi’kma’ki on Nova Scotia’s South Shore. It contains a hemlock grove that is over four centuries old, and at least one tree – Grandmother Maple – that has been dated at over 530 years old; older than the arrival of Europeans on these shores. The Mi’kmaw people currently have care of this forest, but Grandmother Maple witnessed a long journey through time as the land was taken, settled, and then returned to us.","container-title":"Asitu'lɨsk","language":"en-US","title":"About Asitu'lisk","URL":"https://www.asitulsk.ca/about/","accessed":{"date-parts":[["2023",5,31]]}}}],"schema":"https://github.com/citation-style-language/schema/raw/master/csl-citation.json"} </w:instrText>
      </w:r>
      <w:r>
        <w:fldChar w:fldCharType="separate"/>
      </w:r>
      <w:r w:rsidRPr="005B62AB">
        <w:rPr>
          <w:szCs w:val="24"/>
        </w:rPr>
        <w:t>“About Asitu’lisk.”</w:t>
      </w:r>
      <w:r>
        <w:fldChar w:fldCharType="end"/>
      </w:r>
    </w:p>
  </w:footnote>
  <w:footnote w:id="75">
    <w:p w14:paraId="53C68AD4" w14:textId="41884B4A" w:rsidR="0029309B" w:rsidRPr="0029309B" w:rsidRDefault="0029309B" w:rsidP="00D515E4">
      <w:pPr>
        <w:pStyle w:val="FootnoteText"/>
        <w:rPr>
          <w:lang w:val="en-CA"/>
        </w:rPr>
      </w:pPr>
      <w:r>
        <w:rPr>
          <w:rStyle w:val="FootnoteReference"/>
        </w:rPr>
        <w:footnoteRef/>
      </w:r>
      <w:r>
        <w:t xml:space="preserve"> </w:t>
      </w:r>
      <w:r>
        <w:fldChar w:fldCharType="begin"/>
      </w:r>
      <w:r w:rsidR="005B62AB">
        <w:instrText xml:space="preserve"> ADDIN ZOTERO_ITEM CSL_CITATION {"citationID":"HrLYO7A1","properties":{"formattedCitation":"\\uc0\\u8220{}Walker Home Construction.\\uc0\\u8221{}","plainCitation":"“Walker Home Construction.”","noteIndex":75},"citationItems":[{"id":15599,"uris":["http://zotero.org/users/2949335/items/76UXZCED"],"itemData":{"id":15599,"type":"post-weblog","abstract":"yiukon, whitehorse, hotel, B&amp;B,","container-title":"däna Näye Ventures","language":"en-US","title":"Walker Home Construction","URL":"https://dananaye.com/success-story/walker-home-construction/","accessed":{"date-parts":[["2022",9,8]]}}}],"schema":"https://github.com/citation-style-language/schema/raw/master/csl-citation.json"} </w:instrText>
      </w:r>
      <w:r>
        <w:fldChar w:fldCharType="separate"/>
      </w:r>
      <w:r w:rsidRPr="0029309B">
        <w:rPr>
          <w:szCs w:val="24"/>
        </w:rPr>
        <w:t>“Walker Home Construction.”</w:t>
      </w:r>
      <w:r>
        <w:fldChar w:fldCharType="end"/>
      </w:r>
    </w:p>
  </w:footnote>
  <w:footnote w:id="76">
    <w:p w14:paraId="19D451AE" w14:textId="244A1C4C" w:rsidR="00831BE9" w:rsidRPr="00831BE9" w:rsidRDefault="00831BE9" w:rsidP="00D515E4">
      <w:pPr>
        <w:pStyle w:val="FootnoteText"/>
        <w:rPr>
          <w:lang w:val="en-CA"/>
        </w:rPr>
      </w:pPr>
      <w:r>
        <w:rPr>
          <w:rStyle w:val="FootnoteReference"/>
        </w:rPr>
        <w:footnoteRef/>
      </w:r>
      <w:r>
        <w:t xml:space="preserve"> </w:t>
      </w:r>
      <w:r>
        <w:fldChar w:fldCharType="begin"/>
      </w:r>
      <w:r w:rsidR="005B62AB">
        <w:instrText xml:space="preserve"> ADDIN ZOTERO_ITEM CSL_CITATION {"citationID":"IDOG386H","properties":{"formattedCitation":"Ibid.","plainCitation":"Ibid.","noteIndex":76},"citationItems":[{"id":15599,"uris":["http://zotero.org/users/2949335/items/76UXZCED"],"itemData":{"id":15599,"type":"post-weblog","abstract":"yiukon, whitehorse, hotel, B&amp;B,","container-title":"däna Näye Ventures","language":"en-US","title":"Walker Home Construction","URL":"https://dananaye.com/success-story/walker-home-construction/","accessed":{"date-parts":[["2022",9,8]]}}}],"schema":"https://github.com/citation-style-language/schema/raw/master/csl-citation.json"} </w:instrText>
      </w:r>
      <w:r>
        <w:fldChar w:fldCharType="separate"/>
      </w:r>
      <w:r w:rsidRPr="00831BE9">
        <w:t>Ibid.</w:t>
      </w:r>
      <w:r>
        <w:fldChar w:fldCharType="end"/>
      </w:r>
    </w:p>
  </w:footnote>
  <w:footnote w:id="77">
    <w:p w14:paraId="17EBC6F2" w14:textId="5137AFAC" w:rsidR="00831BE9" w:rsidRPr="00831BE9" w:rsidRDefault="00831BE9" w:rsidP="00D515E4">
      <w:pPr>
        <w:pStyle w:val="FootnoteText"/>
        <w:rPr>
          <w:lang w:val="en-CA"/>
        </w:rPr>
      </w:pPr>
      <w:r>
        <w:rPr>
          <w:rStyle w:val="FootnoteReference"/>
        </w:rPr>
        <w:footnoteRef/>
      </w:r>
      <w:r>
        <w:t xml:space="preserve"> </w:t>
      </w:r>
      <w:r>
        <w:fldChar w:fldCharType="begin"/>
      </w:r>
      <w:r w:rsidR="005B62AB">
        <w:instrText xml:space="preserve"> ADDIN ZOTERO_ITEM CSL_CITATION {"citationID":"FIoByfR7","properties":{"formattedCitation":"Ibid.","plainCitation":"Ibid.","noteIndex":77},"citationItems":[{"id":15599,"uris":["http://zotero.org/users/2949335/items/76UXZCED"],"itemData":{"id":15599,"type":"post-weblog","abstract":"yiukon, whitehorse, hotel, B&amp;B,","container-title":"däna Näye Ventures","language":"en-US","title":"Walker Home Construction","URL":"https://dananaye.com/success-story/walker-home-construction/","accessed":{"date-parts":[["2022",9,8]]}}}],"schema":"https://github.com/citation-style-language/schema/raw/master/csl-citation.json"} </w:instrText>
      </w:r>
      <w:r>
        <w:fldChar w:fldCharType="separate"/>
      </w:r>
      <w:r w:rsidRPr="00831BE9">
        <w:t>Ibid.</w:t>
      </w:r>
      <w:r>
        <w:fldChar w:fldCharType="end"/>
      </w:r>
    </w:p>
  </w:footnote>
  <w:footnote w:id="78">
    <w:p w14:paraId="51AC94C7" w14:textId="27E9C898" w:rsidR="00831BE9" w:rsidRPr="00831BE9" w:rsidRDefault="00831BE9" w:rsidP="00D515E4">
      <w:pPr>
        <w:pStyle w:val="FootnoteText"/>
        <w:rPr>
          <w:lang w:val="en-CA"/>
        </w:rPr>
      </w:pPr>
      <w:r>
        <w:rPr>
          <w:rStyle w:val="FootnoteReference"/>
        </w:rPr>
        <w:footnoteRef/>
      </w:r>
      <w:r>
        <w:t xml:space="preserve"> </w:t>
      </w:r>
      <w:r>
        <w:fldChar w:fldCharType="begin"/>
      </w:r>
      <w:r w:rsidR="005B62AB">
        <w:instrText xml:space="preserve"> ADDIN ZOTERO_ITEM CSL_CITATION {"citationID":"KSiCRpTz","properties":{"formattedCitation":"Ibid.","plainCitation":"Ibid.","noteIndex":78},"citationItems":[{"id":15599,"uris":["http://zotero.org/users/2949335/items/76UXZCED"],"itemData":{"id":15599,"type":"post-weblog","abstract":"yiukon, whitehorse, hotel, B&amp;B,","container-title":"däna Näye Ventures","language":"en-US","title":"Walker Home Construction","URL":"https://dananaye.com/success-story/walker-home-construction/","accessed":{"date-parts":[["2022",9,8]]}}}],"schema":"https://github.com/citation-style-language/schema/raw/master/csl-citation.json"} </w:instrText>
      </w:r>
      <w:r>
        <w:fldChar w:fldCharType="separate"/>
      </w:r>
      <w:r w:rsidRPr="00831BE9">
        <w:t>Ibid.</w:t>
      </w:r>
      <w:r>
        <w:fldChar w:fldCharType="end"/>
      </w:r>
    </w:p>
  </w:footnote>
  <w:footnote w:id="79">
    <w:p w14:paraId="085E044E" w14:textId="77777777" w:rsidR="003867D2" w:rsidRPr="00DD06EB" w:rsidRDefault="003867D2" w:rsidP="00D515E4">
      <w:pPr>
        <w:pStyle w:val="FootnoteText"/>
        <w:rPr>
          <w:lang w:val="en-CA"/>
        </w:rPr>
      </w:pPr>
      <w:r>
        <w:rPr>
          <w:rStyle w:val="FootnoteReference"/>
        </w:rPr>
        <w:footnoteRef/>
      </w:r>
      <w:r>
        <w:t xml:space="preserve"> </w:t>
      </w:r>
      <w:r>
        <w:rPr>
          <w:lang w:val="en-CA"/>
        </w:rPr>
        <w:t>Reported in 2020 constant dollars.</w:t>
      </w:r>
    </w:p>
  </w:footnote>
  <w:footnote w:id="80">
    <w:p w14:paraId="20DEB63A" w14:textId="4843BF96" w:rsidR="003952A5" w:rsidRPr="003952A5" w:rsidRDefault="003952A5" w:rsidP="00D515E4">
      <w:pPr>
        <w:pStyle w:val="FootnoteText"/>
        <w:rPr>
          <w:lang w:val="en-CA"/>
        </w:rPr>
      </w:pPr>
      <w:r>
        <w:rPr>
          <w:rStyle w:val="FootnoteReference"/>
        </w:rPr>
        <w:footnoteRef/>
      </w:r>
      <w:r>
        <w:t xml:space="preserve"> </w:t>
      </w:r>
      <w:r>
        <w:fldChar w:fldCharType="begin"/>
      </w:r>
      <w:r w:rsidR="005B62AB">
        <w:instrText xml:space="preserve"> ADDIN ZOTERO_ITEM CSL_CITATION {"citationID":"EJBJLeGD","properties":{"formattedCitation":"Indigenous Services Canada, \\uc0\\u8220{}National Overview of the Community Well-Being Index, 1981 to 2016.\\uc0\\u8221{}","plainCitation":"Indigenous Services Canada, “National Overview of the Community Well-Being Index, 1981 to 2016.”","noteIndex":80},"citationItems":[{"id":10328,"uris":["http://zotero.org/users/2949335/items/5EIRJ4RG"],"itemData":{"id":10328,"type":"webpage","abstract":"The Community Well-Being (CWB) index is a useful method of assessing socio-economic well-being at the community level. The information it provides can help inform policies and programs that are aimed at improving the well-being of Aboriginal people.","genre":"report; statistics","language":"eng","note":"Last Modified: 2020-01-24","title":"National overview of the Community Well-Being index, 1981 to 2016","URL":"https://www.sac-isc.gc.ca/eng/1419864229405/1557324163264","author":[{"literal":"Indigenous Services Canada"}],"accessed":{"date-parts":[["2021",9,16]]},"issued":{"date-parts":[["2020",1,24]]}}}],"schema":"https://github.com/citation-style-language/schema/raw/master/csl-citation.json"} </w:instrText>
      </w:r>
      <w:r>
        <w:fldChar w:fldCharType="separate"/>
      </w:r>
      <w:r w:rsidRPr="003952A5">
        <w:rPr>
          <w:szCs w:val="24"/>
        </w:rPr>
        <w:t>Indigenous Services Canada, “National Overview of the Community Well-Being Index, 1981 to 2016.”</w:t>
      </w:r>
      <w:r>
        <w:fldChar w:fldCharType="end"/>
      </w:r>
    </w:p>
  </w:footnote>
  <w:footnote w:id="81">
    <w:p w14:paraId="19D7C6E1" w14:textId="669E1C34" w:rsidR="003867D2" w:rsidRPr="00D8660E" w:rsidRDefault="003867D2" w:rsidP="00D515E4">
      <w:pPr>
        <w:pStyle w:val="Footnotes"/>
        <w:rPr>
          <w:lang w:val="en-CA"/>
        </w:rPr>
      </w:pPr>
      <w:r>
        <w:rPr>
          <w:rStyle w:val="FootnoteReference"/>
        </w:rPr>
        <w:footnoteRef/>
      </w:r>
      <w:r>
        <w:t xml:space="preserve"> </w:t>
      </w:r>
      <w:r>
        <w:fldChar w:fldCharType="begin"/>
      </w:r>
      <w:r w:rsidR="005B62AB">
        <w:instrText xml:space="preserve"> ADDIN ZOTERO_ITEM CSL_CITATION {"citationID":"uK5DTvqf","properties":{"formattedCitation":"Nickerson, \\uc0\\u8220{}Case Studies in Aboriginal Business.\\uc0\\u8221{}","plainCitation":"Nickerson, “Case Studies in Aboriginal Business.”","noteIndex":81},"citationItems":[{"id":12061,"uris":["http://zotero.org/users/2949335/items/65F4EE7M"],"itemData":{"id":12061,"type":"article-journal","language":"en","page":"8","source":"Zotero","title":"Case Studies in Aboriginal Business","author":[{"family":"Nickerson","given":"Marcia"}]}}],"schema":"https://github.com/citation-style-language/schema/raw/master/csl-citation.json"} </w:instrText>
      </w:r>
      <w:r>
        <w:fldChar w:fldCharType="separate"/>
      </w:r>
      <w:r w:rsidRPr="00D8660E">
        <w:rPr>
          <w:szCs w:val="24"/>
        </w:rPr>
        <w:t>Nickerson, “Case Studies in Aboriginal Business.”</w:t>
      </w:r>
      <w:r>
        <w:fldChar w:fldCharType="end"/>
      </w:r>
    </w:p>
  </w:footnote>
  <w:footnote w:id="82">
    <w:p w14:paraId="05F57577" w14:textId="01369749" w:rsidR="003867D2" w:rsidRPr="00D8660E" w:rsidRDefault="003867D2" w:rsidP="00D515E4">
      <w:pPr>
        <w:pStyle w:val="Footnotes"/>
        <w:rPr>
          <w:lang w:val="en-CA"/>
        </w:rPr>
      </w:pPr>
      <w:r>
        <w:rPr>
          <w:rStyle w:val="FootnoteReference"/>
        </w:rPr>
        <w:footnoteRef/>
      </w:r>
      <w:r>
        <w:t xml:space="preserve"> </w:t>
      </w:r>
      <w:r>
        <w:fldChar w:fldCharType="begin"/>
      </w:r>
      <w:r w:rsidR="005B62AB">
        <w:instrText xml:space="preserve"> ADDIN ZOTERO_ITEM CSL_CITATION {"citationID":"Yq1rVoRb","properties":{"formattedCitation":"Ibid.","plainCitation":"Ibid.","noteIndex":82},"citationItems":[{"id":12061,"uris":["http://zotero.org/users/2949335/items/65F4EE7M"],"itemData":{"id":12061,"type":"article-journal","language":"en","page":"8","source":"Zotero","title":"Case Studies in Aboriginal Business","author":[{"family":"Nickerson","given":"Marcia"}]}}],"schema":"https://github.com/citation-style-language/schema/raw/master/csl-citation.json"} </w:instrText>
      </w:r>
      <w:r>
        <w:fldChar w:fldCharType="separate"/>
      </w:r>
      <w:r w:rsidRPr="00D8660E">
        <w:t>Ibid.</w:t>
      </w:r>
      <w:r>
        <w:fldChar w:fldCharType="end"/>
      </w:r>
    </w:p>
  </w:footnote>
  <w:footnote w:id="83">
    <w:p w14:paraId="34A813E6" w14:textId="7268F2C9" w:rsidR="003867D2" w:rsidRPr="00D265D4" w:rsidRDefault="003867D2" w:rsidP="00D515E4">
      <w:pPr>
        <w:pStyle w:val="Footnotes"/>
        <w:rPr>
          <w:lang w:val="en-CA"/>
        </w:rPr>
      </w:pPr>
      <w:r>
        <w:rPr>
          <w:rStyle w:val="FootnoteReference"/>
        </w:rPr>
        <w:footnoteRef/>
      </w:r>
      <w:r>
        <w:t xml:space="preserve"> </w:t>
      </w:r>
      <w:r>
        <w:fldChar w:fldCharType="begin"/>
      </w:r>
      <w:r w:rsidR="005B62AB">
        <w:instrText xml:space="preserve"> ADDIN ZOTERO_ITEM CSL_CITATION {"citationID":"l2XaVQsl","properties":{"formattedCitation":"Weir, {\\i{}First Nation Small Business and Entrepreneurship in Canada}.","plainCitation":"Weir, First Nation Small Business and Entrepreneurship in Canada.","noteIndex":83},"citationItems":[{"id":11957,"uris":["http://zotero.org/users/2949335/items/IHZ64PGC"],"itemData":{"id":11957,"type":"book","publisher":"National Centre for First Nations Governance","title":"First Nation small business and entrepreneurship in Canada","author":[{"family":"Weir","given":"Warren I."}],"issued":{"date-parts":[["2007"]]}}}],"schema":"https://github.com/citation-style-language/schema/raw/master/csl-citation.json"} </w:instrText>
      </w:r>
      <w:r>
        <w:fldChar w:fldCharType="separate"/>
      </w:r>
      <w:r w:rsidRPr="00D265D4">
        <w:rPr>
          <w:szCs w:val="24"/>
        </w:rPr>
        <w:t xml:space="preserve">Weir, </w:t>
      </w:r>
      <w:r w:rsidRPr="00D265D4">
        <w:rPr>
          <w:i/>
          <w:iCs/>
          <w:szCs w:val="24"/>
        </w:rPr>
        <w:t>First Nation Small Business and Entrepreneurship in Canada</w:t>
      </w:r>
      <w:r w:rsidRPr="00D265D4">
        <w:rPr>
          <w:szCs w:val="24"/>
        </w:rPr>
        <w:t>.</w:t>
      </w:r>
      <w:r>
        <w:fldChar w:fldCharType="end"/>
      </w:r>
    </w:p>
  </w:footnote>
  <w:footnote w:id="84">
    <w:p w14:paraId="2F1024D7" w14:textId="74D93584" w:rsidR="003867D2" w:rsidRPr="00D265D4" w:rsidRDefault="003867D2" w:rsidP="00D515E4">
      <w:pPr>
        <w:pStyle w:val="Footnotes"/>
        <w:rPr>
          <w:lang w:val="en-CA"/>
        </w:rPr>
      </w:pPr>
      <w:r>
        <w:rPr>
          <w:rStyle w:val="FootnoteReference"/>
        </w:rPr>
        <w:footnoteRef/>
      </w:r>
      <w:r>
        <w:t xml:space="preserve"> </w:t>
      </w:r>
      <w:r>
        <w:fldChar w:fldCharType="begin"/>
      </w:r>
      <w:r w:rsidR="005B62AB">
        <w:instrText xml:space="preserve"> ADDIN ZOTERO_ITEM CSL_CITATION {"citationID":"JCC6b7Cn","properties":{"formattedCitation":"Munnings, \\uc0\\u8220{}A Model for the Development Of Entrepreneurship on First Nation Indian Reserves.\\uc0\\u8221{}","plainCitation":"Munnings, “A Model for the Development Of Entrepreneurship on First Nation Indian Reserves.”","noteIndex":84},"citationItems":[{"id":11956,"uris":["http://zotero.org/users/2949335/items/92PTAMPP"],"itemData":{"id":11956,"type":"article-journal","title":"A Model for the Development Of Entrepreneurship on First Nation Indian Reserves","author":[{"family":"Munnings","given":"Adam Charles"}],"issued":{"date-parts":[["2014"]]}}}],"schema":"https://github.com/citation-style-language/schema/raw/master/csl-citation.json"} </w:instrText>
      </w:r>
      <w:r>
        <w:fldChar w:fldCharType="separate"/>
      </w:r>
      <w:r w:rsidRPr="00D265D4">
        <w:rPr>
          <w:szCs w:val="24"/>
        </w:rPr>
        <w:t>Munnings, “A Model for the Development Of Entrepreneurship on First Nation Indian Reserves.”</w:t>
      </w:r>
      <w:r>
        <w:fldChar w:fldCharType="end"/>
      </w:r>
    </w:p>
  </w:footnote>
  <w:footnote w:id="85">
    <w:p w14:paraId="19620E1F" w14:textId="78300EE0" w:rsidR="003867D2" w:rsidRPr="00983489" w:rsidRDefault="003867D2" w:rsidP="00D515E4">
      <w:pPr>
        <w:pStyle w:val="Footnotes"/>
        <w:rPr>
          <w:lang w:val="en-CA"/>
        </w:rPr>
      </w:pPr>
      <w:r>
        <w:rPr>
          <w:rStyle w:val="FootnoteReference"/>
        </w:rPr>
        <w:footnoteRef/>
      </w:r>
      <w:r>
        <w:t xml:space="preserve"> </w:t>
      </w:r>
      <w:r>
        <w:fldChar w:fldCharType="begin"/>
      </w:r>
      <w:r w:rsidR="005B62AB">
        <w:instrText xml:space="preserve"> ADDIN ZOTERO_ITEM CSL_CITATION {"citationID":"MrnYEcN0","properties":{"formattedCitation":"Ibid.","plainCitation":"Ibid.","noteIndex":85},"citationItems":[{"id":11956,"uris":["http://zotero.org/users/2949335/items/92PTAMPP"],"itemData":{"id":11956,"type":"article-journal","title":"A Model for the Development Of Entrepreneurship on First Nation Indian Reserves","author":[{"family":"Munnings","given":"Adam Charles"}],"issued":{"date-parts":[["2014"]]}}}],"schema":"https://github.com/citation-style-language/schema/raw/master/csl-citation.json"} </w:instrText>
      </w:r>
      <w:r>
        <w:fldChar w:fldCharType="separate"/>
      </w:r>
      <w:r w:rsidRPr="00983489">
        <w:t>Ibid.</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8C2D" w14:textId="1B5E7949" w:rsidR="00F81046" w:rsidRDefault="00F81046">
    <w:r>
      <w:rPr>
        <w:noProof/>
      </w:rPr>
      <w:drawing>
        <wp:anchor distT="0" distB="0" distL="114300" distR="114300" simplePos="0" relativeHeight="251658240" behindDoc="1" locked="1" layoutInCell="1" allowOverlap="0" wp14:anchorId="125F9E51" wp14:editId="5493CCF5">
          <wp:simplePos x="0" y="0"/>
          <wp:positionH relativeFrom="page">
            <wp:posOffset>63500</wp:posOffset>
          </wp:positionH>
          <wp:positionV relativeFrom="page">
            <wp:posOffset>-310515</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153_Custom-Report_EN-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EDB"/>
    <w:multiLevelType w:val="hybridMultilevel"/>
    <w:tmpl w:val="7096BE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58B62CD"/>
    <w:multiLevelType w:val="hybridMultilevel"/>
    <w:tmpl w:val="1CF0716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6DA036E"/>
    <w:multiLevelType w:val="hybridMultilevel"/>
    <w:tmpl w:val="6BB21D2C"/>
    <w:lvl w:ilvl="0" w:tplc="621A1B4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539DC"/>
    <w:multiLevelType w:val="hybridMultilevel"/>
    <w:tmpl w:val="ABCAF474"/>
    <w:lvl w:ilvl="0" w:tplc="2B44211C">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F1C3A"/>
    <w:multiLevelType w:val="hybridMultilevel"/>
    <w:tmpl w:val="0FFC89C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364EEB"/>
    <w:multiLevelType w:val="hybridMultilevel"/>
    <w:tmpl w:val="AB1277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DD578B"/>
    <w:multiLevelType w:val="hybridMultilevel"/>
    <w:tmpl w:val="D4821C2E"/>
    <w:lvl w:ilvl="0" w:tplc="DFD0A81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996132"/>
    <w:multiLevelType w:val="hybridMultilevel"/>
    <w:tmpl w:val="0CBCFCE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4DD1105"/>
    <w:multiLevelType w:val="hybridMultilevel"/>
    <w:tmpl w:val="CE3EDB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BB51FF9"/>
    <w:multiLevelType w:val="hybridMultilevel"/>
    <w:tmpl w:val="9F5C2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886C80"/>
    <w:multiLevelType w:val="hybridMultilevel"/>
    <w:tmpl w:val="9A4E1602"/>
    <w:lvl w:ilvl="0" w:tplc="CA5CA69E">
      <w:start w:val="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33550EC"/>
    <w:multiLevelType w:val="hybridMultilevel"/>
    <w:tmpl w:val="703C5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857FB7"/>
    <w:multiLevelType w:val="hybridMultilevel"/>
    <w:tmpl w:val="EA9617C0"/>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8702B7"/>
    <w:multiLevelType w:val="hybridMultilevel"/>
    <w:tmpl w:val="8830F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BA1279"/>
    <w:multiLevelType w:val="hybridMultilevel"/>
    <w:tmpl w:val="90D0E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3262F"/>
    <w:multiLevelType w:val="hybridMultilevel"/>
    <w:tmpl w:val="D304E33C"/>
    <w:lvl w:ilvl="0" w:tplc="27CE6E84">
      <w:start w:val="1"/>
      <w:numFmt w:val="bullet"/>
      <w:lvlText w:val=""/>
      <w:lvlJc w:val="left"/>
      <w:pPr>
        <w:ind w:left="360" w:hanging="360"/>
      </w:pPr>
      <w:rPr>
        <w:rFonts w:ascii="Symbol" w:hAnsi="Symbol" w:hint="default"/>
        <w:sz w:val="22"/>
        <w:szCs w:val="22"/>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E750779"/>
    <w:multiLevelType w:val="hybridMultilevel"/>
    <w:tmpl w:val="EA9617C0"/>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F922A51"/>
    <w:multiLevelType w:val="hybridMultilevel"/>
    <w:tmpl w:val="D8B8BDAC"/>
    <w:lvl w:ilvl="0" w:tplc="EB8E6FC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C0A8E"/>
    <w:multiLevelType w:val="hybridMultilevel"/>
    <w:tmpl w:val="F99A1C9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52E62D2"/>
    <w:multiLevelType w:val="hybridMultilevel"/>
    <w:tmpl w:val="9C2E3E94"/>
    <w:lvl w:ilvl="0" w:tplc="04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0" w15:restartNumberingAfterBreak="0">
    <w:nsid w:val="37B42279"/>
    <w:multiLevelType w:val="hybridMultilevel"/>
    <w:tmpl w:val="6D8E6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747D3B"/>
    <w:multiLevelType w:val="hybridMultilevel"/>
    <w:tmpl w:val="152EE554"/>
    <w:lvl w:ilvl="0" w:tplc="A94697E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A3FDF"/>
    <w:multiLevelType w:val="hybridMultilevel"/>
    <w:tmpl w:val="565C83E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CD32D6"/>
    <w:multiLevelType w:val="hybridMultilevel"/>
    <w:tmpl w:val="F8E28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743C79"/>
    <w:multiLevelType w:val="hybridMultilevel"/>
    <w:tmpl w:val="08ACFDF2"/>
    <w:lvl w:ilvl="0" w:tplc="119257A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37E53CF"/>
    <w:multiLevelType w:val="multilevel"/>
    <w:tmpl w:val="E776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6B4C46"/>
    <w:multiLevelType w:val="hybridMultilevel"/>
    <w:tmpl w:val="DABC0C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5525F9D"/>
    <w:multiLevelType w:val="hybridMultilevel"/>
    <w:tmpl w:val="BB343A8C"/>
    <w:lvl w:ilvl="0" w:tplc="CEE4993A">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79E027D"/>
    <w:multiLevelType w:val="hybridMultilevel"/>
    <w:tmpl w:val="1C6A6C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7F47EED"/>
    <w:multiLevelType w:val="hybridMultilevel"/>
    <w:tmpl w:val="F946B202"/>
    <w:lvl w:ilvl="0" w:tplc="8020AA00">
      <w:start w:val="1"/>
      <w:numFmt w:val="bullet"/>
      <w:pStyle w:val="BulletList"/>
      <w:lvlText w:val=""/>
      <w:lvlJc w:val="left"/>
      <w:pPr>
        <w:ind w:left="720" w:hanging="360"/>
      </w:pPr>
      <w:rPr>
        <w:rFonts w:ascii="Symbol" w:hAnsi="Symbol" w:hint="default"/>
      </w:rPr>
    </w:lvl>
    <w:lvl w:ilvl="1" w:tplc="3C1C4C2A">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84F127A"/>
    <w:multiLevelType w:val="hybridMultilevel"/>
    <w:tmpl w:val="FA56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84F71"/>
    <w:multiLevelType w:val="hybridMultilevel"/>
    <w:tmpl w:val="490E03C4"/>
    <w:lvl w:ilvl="0" w:tplc="9ACAD7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89798C"/>
    <w:multiLevelType w:val="hybridMultilevel"/>
    <w:tmpl w:val="665EC32E"/>
    <w:lvl w:ilvl="0" w:tplc="775EC1F6">
      <w:start w:val="1"/>
      <w:numFmt w:val="bullet"/>
      <w:lvlText w:val="•"/>
      <w:lvlJc w:val="left"/>
      <w:pPr>
        <w:tabs>
          <w:tab w:val="num" w:pos="720"/>
        </w:tabs>
        <w:ind w:left="720" w:hanging="360"/>
      </w:pPr>
      <w:rPr>
        <w:rFonts w:ascii="Arial" w:hAnsi="Arial" w:hint="default"/>
      </w:rPr>
    </w:lvl>
    <w:lvl w:ilvl="1" w:tplc="7F44C238">
      <w:numFmt w:val="bullet"/>
      <w:lvlText w:val="•"/>
      <w:lvlJc w:val="left"/>
      <w:pPr>
        <w:tabs>
          <w:tab w:val="num" w:pos="1440"/>
        </w:tabs>
        <w:ind w:left="1440" w:hanging="360"/>
      </w:pPr>
      <w:rPr>
        <w:rFonts w:ascii="Arial" w:hAnsi="Arial" w:hint="default"/>
      </w:rPr>
    </w:lvl>
    <w:lvl w:ilvl="2" w:tplc="7A78EF84" w:tentative="1">
      <w:start w:val="1"/>
      <w:numFmt w:val="bullet"/>
      <w:lvlText w:val="•"/>
      <w:lvlJc w:val="left"/>
      <w:pPr>
        <w:tabs>
          <w:tab w:val="num" w:pos="2160"/>
        </w:tabs>
        <w:ind w:left="2160" w:hanging="360"/>
      </w:pPr>
      <w:rPr>
        <w:rFonts w:ascii="Arial" w:hAnsi="Arial" w:hint="default"/>
      </w:rPr>
    </w:lvl>
    <w:lvl w:ilvl="3" w:tplc="472838C4" w:tentative="1">
      <w:start w:val="1"/>
      <w:numFmt w:val="bullet"/>
      <w:lvlText w:val="•"/>
      <w:lvlJc w:val="left"/>
      <w:pPr>
        <w:tabs>
          <w:tab w:val="num" w:pos="2880"/>
        </w:tabs>
        <w:ind w:left="2880" w:hanging="360"/>
      </w:pPr>
      <w:rPr>
        <w:rFonts w:ascii="Arial" w:hAnsi="Arial" w:hint="default"/>
      </w:rPr>
    </w:lvl>
    <w:lvl w:ilvl="4" w:tplc="06BA83E4" w:tentative="1">
      <w:start w:val="1"/>
      <w:numFmt w:val="bullet"/>
      <w:lvlText w:val="•"/>
      <w:lvlJc w:val="left"/>
      <w:pPr>
        <w:tabs>
          <w:tab w:val="num" w:pos="3600"/>
        </w:tabs>
        <w:ind w:left="3600" w:hanging="360"/>
      </w:pPr>
      <w:rPr>
        <w:rFonts w:ascii="Arial" w:hAnsi="Arial" w:hint="default"/>
      </w:rPr>
    </w:lvl>
    <w:lvl w:ilvl="5" w:tplc="63AA075A" w:tentative="1">
      <w:start w:val="1"/>
      <w:numFmt w:val="bullet"/>
      <w:lvlText w:val="•"/>
      <w:lvlJc w:val="left"/>
      <w:pPr>
        <w:tabs>
          <w:tab w:val="num" w:pos="4320"/>
        </w:tabs>
        <w:ind w:left="4320" w:hanging="360"/>
      </w:pPr>
      <w:rPr>
        <w:rFonts w:ascii="Arial" w:hAnsi="Arial" w:hint="default"/>
      </w:rPr>
    </w:lvl>
    <w:lvl w:ilvl="6" w:tplc="58040176" w:tentative="1">
      <w:start w:val="1"/>
      <w:numFmt w:val="bullet"/>
      <w:lvlText w:val="•"/>
      <w:lvlJc w:val="left"/>
      <w:pPr>
        <w:tabs>
          <w:tab w:val="num" w:pos="5040"/>
        </w:tabs>
        <w:ind w:left="5040" w:hanging="360"/>
      </w:pPr>
      <w:rPr>
        <w:rFonts w:ascii="Arial" w:hAnsi="Arial" w:hint="default"/>
      </w:rPr>
    </w:lvl>
    <w:lvl w:ilvl="7" w:tplc="8E4A34F8" w:tentative="1">
      <w:start w:val="1"/>
      <w:numFmt w:val="bullet"/>
      <w:lvlText w:val="•"/>
      <w:lvlJc w:val="left"/>
      <w:pPr>
        <w:tabs>
          <w:tab w:val="num" w:pos="5760"/>
        </w:tabs>
        <w:ind w:left="5760" w:hanging="360"/>
      </w:pPr>
      <w:rPr>
        <w:rFonts w:ascii="Arial" w:hAnsi="Arial" w:hint="default"/>
      </w:rPr>
    </w:lvl>
    <w:lvl w:ilvl="8" w:tplc="628401F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CF129B"/>
    <w:multiLevelType w:val="multilevel"/>
    <w:tmpl w:val="1CF071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31901BE"/>
    <w:multiLevelType w:val="hybridMultilevel"/>
    <w:tmpl w:val="2864C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8670ABC"/>
    <w:multiLevelType w:val="hybridMultilevel"/>
    <w:tmpl w:val="10862CD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B626D94"/>
    <w:multiLevelType w:val="hybridMultilevel"/>
    <w:tmpl w:val="D3AE4E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C03054D"/>
    <w:multiLevelType w:val="hybridMultilevel"/>
    <w:tmpl w:val="1418233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423315A"/>
    <w:multiLevelType w:val="hybridMultilevel"/>
    <w:tmpl w:val="8E8C0CD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4E67F30"/>
    <w:multiLevelType w:val="hybridMultilevel"/>
    <w:tmpl w:val="612A1B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B70564D"/>
    <w:multiLevelType w:val="hybridMultilevel"/>
    <w:tmpl w:val="0A8AA396"/>
    <w:lvl w:ilvl="0" w:tplc="3FF044EC">
      <w:start w:val="1"/>
      <w:numFmt w:val="bullet"/>
      <w:lvlText w:val="•"/>
      <w:lvlJc w:val="left"/>
      <w:pPr>
        <w:tabs>
          <w:tab w:val="num" w:pos="720"/>
        </w:tabs>
        <w:ind w:left="720" w:hanging="360"/>
      </w:pPr>
      <w:rPr>
        <w:rFonts w:ascii="Arial" w:hAnsi="Arial" w:hint="default"/>
      </w:rPr>
    </w:lvl>
    <w:lvl w:ilvl="1" w:tplc="77B0149E">
      <w:numFmt w:val="bullet"/>
      <w:lvlText w:val="•"/>
      <w:lvlJc w:val="left"/>
      <w:pPr>
        <w:tabs>
          <w:tab w:val="num" w:pos="1440"/>
        </w:tabs>
        <w:ind w:left="1440" w:hanging="360"/>
      </w:pPr>
      <w:rPr>
        <w:rFonts w:ascii="Arial" w:hAnsi="Arial" w:hint="default"/>
      </w:rPr>
    </w:lvl>
    <w:lvl w:ilvl="2" w:tplc="6A5604D0">
      <w:numFmt w:val="bullet"/>
      <w:lvlText w:val="•"/>
      <w:lvlJc w:val="left"/>
      <w:pPr>
        <w:tabs>
          <w:tab w:val="num" w:pos="2160"/>
        </w:tabs>
        <w:ind w:left="2160" w:hanging="360"/>
      </w:pPr>
      <w:rPr>
        <w:rFonts w:ascii="Arial" w:hAnsi="Arial" w:hint="default"/>
      </w:rPr>
    </w:lvl>
    <w:lvl w:ilvl="3" w:tplc="03B80774" w:tentative="1">
      <w:start w:val="1"/>
      <w:numFmt w:val="bullet"/>
      <w:lvlText w:val="•"/>
      <w:lvlJc w:val="left"/>
      <w:pPr>
        <w:tabs>
          <w:tab w:val="num" w:pos="2880"/>
        </w:tabs>
        <w:ind w:left="2880" w:hanging="360"/>
      </w:pPr>
      <w:rPr>
        <w:rFonts w:ascii="Arial" w:hAnsi="Arial" w:hint="default"/>
      </w:rPr>
    </w:lvl>
    <w:lvl w:ilvl="4" w:tplc="6E8C88CC" w:tentative="1">
      <w:start w:val="1"/>
      <w:numFmt w:val="bullet"/>
      <w:lvlText w:val="•"/>
      <w:lvlJc w:val="left"/>
      <w:pPr>
        <w:tabs>
          <w:tab w:val="num" w:pos="3600"/>
        </w:tabs>
        <w:ind w:left="3600" w:hanging="360"/>
      </w:pPr>
      <w:rPr>
        <w:rFonts w:ascii="Arial" w:hAnsi="Arial" w:hint="default"/>
      </w:rPr>
    </w:lvl>
    <w:lvl w:ilvl="5" w:tplc="68DC1B78" w:tentative="1">
      <w:start w:val="1"/>
      <w:numFmt w:val="bullet"/>
      <w:lvlText w:val="•"/>
      <w:lvlJc w:val="left"/>
      <w:pPr>
        <w:tabs>
          <w:tab w:val="num" w:pos="4320"/>
        </w:tabs>
        <w:ind w:left="4320" w:hanging="360"/>
      </w:pPr>
      <w:rPr>
        <w:rFonts w:ascii="Arial" w:hAnsi="Arial" w:hint="default"/>
      </w:rPr>
    </w:lvl>
    <w:lvl w:ilvl="6" w:tplc="19E4AD94" w:tentative="1">
      <w:start w:val="1"/>
      <w:numFmt w:val="bullet"/>
      <w:lvlText w:val="•"/>
      <w:lvlJc w:val="left"/>
      <w:pPr>
        <w:tabs>
          <w:tab w:val="num" w:pos="5040"/>
        </w:tabs>
        <w:ind w:left="5040" w:hanging="360"/>
      </w:pPr>
      <w:rPr>
        <w:rFonts w:ascii="Arial" w:hAnsi="Arial" w:hint="default"/>
      </w:rPr>
    </w:lvl>
    <w:lvl w:ilvl="7" w:tplc="B1F0BAB2" w:tentative="1">
      <w:start w:val="1"/>
      <w:numFmt w:val="bullet"/>
      <w:lvlText w:val="•"/>
      <w:lvlJc w:val="left"/>
      <w:pPr>
        <w:tabs>
          <w:tab w:val="num" w:pos="5760"/>
        </w:tabs>
        <w:ind w:left="5760" w:hanging="360"/>
      </w:pPr>
      <w:rPr>
        <w:rFonts w:ascii="Arial" w:hAnsi="Arial" w:hint="default"/>
      </w:rPr>
    </w:lvl>
    <w:lvl w:ilvl="8" w:tplc="DE2E0E6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714D7D"/>
    <w:multiLevelType w:val="hybridMultilevel"/>
    <w:tmpl w:val="E6B68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E486CA0"/>
    <w:multiLevelType w:val="hybridMultilevel"/>
    <w:tmpl w:val="8806CFA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06165762">
    <w:abstractNumId w:val="25"/>
  </w:num>
  <w:num w:numId="2" w16cid:durableId="320892579">
    <w:abstractNumId w:val="31"/>
  </w:num>
  <w:num w:numId="3" w16cid:durableId="1328099148">
    <w:abstractNumId w:val="27"/>
  </w:num>
  <w:num w:numId="4" w16cid:durableId="1192643353">
    <w:abstractNumId w:val="42"/>
  </w:num>
  <w:num w:numId="5" w16cid:durableId="2027248309">
    <w:abstractNumId w:val="37"/>
  </w:num>
  <w:num w:numId="6" w16cid:durableId="388262769">
    <w:abstractNumId w:val="18"/>
  </w:num>
  <w:num w:numId="7" w16cid:durableId="1869760128">
    <w:abstractNumId w:val="2"/>
  </w:num>
  <w:num w:numId="8" w16cid:durableId="1478840360">
    <w:abstractNumId w:val="38"/>
  </w:num>
  <w:num w:numId="9" w16cid:durableId="953247058">
    <w:abstractNumId w:val="21"/>
  </w:num>
  <w:num w:numId="10" w16cid:durableId="395014269">
    <w:abstractNumId w:val="3"/>
  </w:num>
  <w:num w:numId="11" w16cid:durableId="1097867976">
    <w:abstractNumId w:val="14"/>
  </w:num>
  <w:num w:numId="12" w16cid:durableId="1789080287">
    <w:abstractNumId w:val="17"/>
  </w:num>
  <w:num w:numId="13" w16cid:durableId="445198512">
    <w:abstractNumId w:val="23"/>
  </w:num>
  <w:num w:numId="14" w16cid:durableId="1562062493">
    <w:abstractNumId w:val="13"/>
  </w:num>
  <w:num w:numId="15" w16cid:durableId="670957817">
    <w:abstractNumId w:val="30"/>
  </w:num>
  <w:num w:numId="16" w16cid:durableId="168840248">
    <w:abstractNumId w:val="22"/>
  </w:num>
  <w:num w:numId="17" w16cid:durableId="781070031">
    <w:abstractNumId w:val="19"/>
  </w:num>
  <w:num w:numId="18" w16cid:durableId="137962034">
    <w:abstractNumId w:val="4"/>
  </w:num>
  <w:num w:numId="19" w16cid:durableId="2095083142">
    <w:abstractNumId w:val="6"/>
  </w:num>
  <w:num w:numId="20" w16cid:durableId="803422895">
    <w:abstractNumId w:val="28"/>
  </w:num>
  <w:num w:numId="21" w16cid:durableId="1770270037">
    <w:abstractNumId w:val="24"/>
  </w:num>
  <w:num w:numId="22" w16cid:durableId="1907521879">
    <w:abstractNumId w:val="29"/>
  </w:num>
  <w:num w:numId="23" w16cid:durableId="500195246">
    <w:abstractNumId w:val="41"/>
  </w:num>
  <w:num w:numId="24" w16cid:durableId="1302884637">
    <w:abstractNumId w:val="12"/>
  </w:num>
  <w:num w:numId="25" w16cid:durableId="215244982">
    <w:abstractNumId w:val="16"/>
  </w:num>
  <w:num w:numId="26" w16cid:durableId="1061178105">
    <w:abstractNumId w:val="1"/>
  </w:num>
  <w:num w:numId="27" w16cid:durableId="433474451">
    <w:abstractNumId w:val="33"/>
  </w:num>
  <w:num w:numId="28" w16cid:durableId="1779569579">
    <w:abstractNumId w:val="36"/>
  </w:num>
  <w:num w:numId="29" w16cid:durableId="570163218">
    <w:abstractNumId w:val="8"/>
  </w:num>
  <w:num w:numId="30" w16cid:durableId="1999724970">
    <w:abstractNumId w:val="35"/>
  </w:num>
  <w:num w:numId="31" w16cid:durableId="929581466">
    <w:abstractNumId w:val="39"/>
  </w:num>
  <w:num w:numId="32" w16cid:durableId="538589700">
    <w:abstractNumId w:val="9"/>
  </w:num>
  <w:num w:numId="33" w16cid:durableId="269287510">
    <w:abstractNumId w:val="11"/>
  </w:num>
  <w:num w:numId="34" w16cid:durableId="1520313344">
    <w:abstractNumId w:val="7"/>
  </w:num>
  <w:num w:numId="35" w16cid:durableId="376199461">
    <w:abstractNumId w:val="10"/>
  </w:num>
  <w:num w:numId="36" w16cid:durableId="618150028">
    <w:abstractNumId w:val="15"/>
  </w:num>
  <w:num w:numId="37" w16cid:durableId="1800561861">
    <w:abstractNumId w:val="5"/>
  </w:num>
  <w:num w:numId="38" w16cid:durableId="2111972385">
    <w:abstractNumId w:val="26"/>
  </w:num>
  <w:num w:numId="39" w16cid:durableId="1096512956">
    <w:abstractNumId w:val="0"/>
  </w:num>
  <w:num w:numId="40" w16cid:durableId="919944695">
    <w:abstractNumId w:val="34"/>
  </w:num>
  <w:num w:numId="41" w16cid:durableId="1980526150">
    <w:abstractNumId w:val="20"/>
  </w:num>
  <w:num w:numId="42" w16cid:durableId="1812744519">
    <w:abstractNumId w:val="40"/>
  </w:num>
  <w:num w:numId="43" w16cid:durableId="168158928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4"/>
    <w:rsid w:val="000006C7"/>
    <w:rsid w:val="00000953"/>
    <w:rsid w:val="00000EA1"/>
    <w:rsid w:val="00000FBC"/>
    <w:rsid w:val="000015AB"/>
    <w:rsid w:val="000019A7"/>
    <w:rsid w:val="00001DC8"/>
    <w:rsid w:val="00001E76"/>
    <w:rsid w:val="0000200E"/>
    <w:rsid w:val="0000216B"/>
    <w:rsid w:val="000026DC"/>
    <w:rsid w:val="00002785"/>
    <w:rsid w:val="000027DA"/>
    <w:rsid w:val="00002934"/>
    <w:rsid w:val="00002B27"/>
    <w:rsid w:val="000031F6"/>
    <w:rsid w:val="000035C0"/>
    <w:rsid w:val="00003694"/>
    <w:rsid w:val="00003CF7"/>
    <w:rsid w:val="00003E22"/>
    <w:rsid w:val="000042CB"/>
    <w:rsid w:val="00004C77"/>
    <w:rsid w:val="00004C97"/>
    <w:rsid w:val="00004D19"/>
    <w:rsid w:val="00004E66"/>
    <w:rsid w:val="00005654"/>
    <w:rsid w:val="00005B47"/>
    <w:rsid w:val="0000620C"/>
    <w:rsid w:val="00006723"/>
    <w:rsid w:val="00006A2A"/>
    <w:rsid w:val="0000768E"/>
    <w:rsid w:val="00007A4B"/>
    <w:rsid w:val="00007B4E"/>
    <w:rsid w:val="00007BEF"/>
    <w:rsid w:val="00007D92"/>
    <w:rsid w:val="0001009C"/>
    <w:rsid w:val="000101D5"/>
    <w:rsid w:val="000103A1"/>
    <w:rsid w:val="000103E7"/>
    <w:rsid w:val="000104DA"/>
    <w:rsid w:val="0001079D"/>
    <w:rsid w:val="00010A1F"/>
    <w:rsid w:val="00010B4F"/>
    <w:rsid w:val="00010E7F"/>
    <w:rsid w:val="0001165B"/>
    <w:rsid w:val="00011AD2"/>
    <w:rsid w:val="00012C12"/>
    <w:rsid w:val="00012D17"/>
    <w:rsid w:val="00012D66"/>
    <w:rsid w:val="000132BB"/>
    <w:rsid w:val="00013691"/>
    <w:rsid w:val="000137D6"/>
    <w:rsid w:val="00013E0A"/>
    <w:rsid w:val="000140D2"/>
    <w:rsid w:val="000142EB"/>
    <w:rsid w:val="00014E14"/>
    <w:rsid w:val="00014F67"/>
    <w:rsid w:val="00015688"/>
    <w:rsid w:val="00015F30"/>
    <w:rsid w:val="0001635E"/>
    <w:rsid w:val="00016448"/>
    <w:rsid w:val="0001670F"/>
    <w:rsid w:val="000169CC"/>
    <w:rsid w:val="00016A99"/>
    <w:rsid w:val="00016E36"/>
    <w:rsid w:val="00016F40"/>
    <w:rsid w:val="00017064"/>
    <w:rsid w:val="00017101"/>
    <w:rsid w:val="000171AE"/>
    <w:rsid w:val="000176E0"/>
    <w:rsid w:val="00017BA1"/>
    <w:rsid w:val="000204CF"/>
    <w:rsid w:val="000205E6"/>
    <w:rsid w:val="00020F49"/>
    <w:rsid w:val="0002151C"/>
    <w:rsid w:val="0002158E"/>
    <w:rsid w:val="0002164B"/>
    <w:rsid w:val="00021873"/>
    <w:rsid w:val="00021B19"/>
    <w:rsid w:val="00021FBE"/>
    <w:rsid w:val="00021FC0"/>
    <w:rsid w:val="000223AE"/>
    <w:rsid w:val="00022546"/>
    <w:rsid w:val="0002279F"/>
    <w:rsid w:val="0002283C"/>
    <w:rsid w:val="00022B4A"/>
    <w:rsid w:val="0002364C"/>
    <w:rsid w:val="00023DF1"/>
    <w:rsid w:val="00023FBC"/>
    <w:rsid w:val="0002422C"/>
    <w:rsid w:val="00024426"/>
    <w:rsid w:val="0002459F"/>
    <w:rsid w:val="00024BB5"/>
    <w:rsid w:val="00024F6E"/>
    <w:rsid w:val="000253DF"/>
    <w:rsid w:val="0002543F"/>
    <w:rsid w:val="0002556A"/>
    <w:rsid w:val="00025E19"/>
    <w:rsid w:val="00026035"/>
    <w:rsid w:val="000269B9"/>
    <w:rsid w:val="000269DE"/>
    <w:rsid w:val="00026C14"/>
    <w:rsid w:val="00026D06"/>
    <w:rsid w:val="000271A1"/>
    <w:rsid w:val="00027573"/>
    <w:rsid w:val="000279FC"/>
    <w:rsid w:val="00027CE6"/>
    <w:rsid w:val="000300A7"/>
    <w:rsid w:val="0003011B"/>
    <w:rsid w:val="000302F3"/>
    <w:rsid w:val="0003042A"/>
    <w:rsid w:val="000307B8"/>
    <w:rsid w:val="00030AE8"/>
    <w:rsid w:val="00030C45"/>
    <w:rsid w:val="00030DDF"/>
    <w:rsid w:val="00031061"/>
    <w:rsid w:val="00031433"/>
    <w:rsid w:val="000315A7"/>
    <w:rsid w:val="0003185F"/>
    <w:rsid w:val="0003190D"/>
    <w:rsid w:val="000319D7"/>
    <w:rsid w:val="00031AF8"/>
    <w:rsid w:val="00031BC4"/>
    <w:rsid w:val="00031D78"/>
    <w:rsid w:val="00032010"/>
    <w:rsid w:val="000322AE"/>
    <w:rsid w:val="000327A2"/>
    <w:rsid w:val="00032BC5"/>
    <w:rsid w:val="00032DDE"/>
    <w:rsid w:val="00033275"/>
    <w:rsid w:val="0003360C"/>
    <w:rsid w:val="00033DDC"/>
    <w:rsid w:val="00033F8A"/>
    <w:rsid w:val="00034117"/>
    <w:rsid w:val="00034252"/>
    <w:rsid w:val="0003425B"/>
    <w:rsid w:val="000343EC"/>
    <w:rsid w:val="00034551"/>
    <w:rsid w:val="00034E43"/>
    <w:rsid w:val="000350FF"/>
    <w:rsid w:val="0003541C"/>
    <w:rsid w:val="00035757"/>
    <w:rsid w:val="00035FAD"/>
    <w:rsid w:val="00036149"/>
    <w:rsid w:val="00036174"/>
    <w:rsid w:val="00036C78"/>
    <w:rsid w:val="0003736C"/>
    <w:rsid w:val="0003761C"/>
    <w:rsid w:val="000376A6"/>
    <w:rsid w:val="000378DF"/>
    <w:rsid w:val="00037C48"/>
    <w:rsid w:val="00037DE0"/>
    <w:rsid w:val="00040196"/>
    <w:rsid w:val="000401AD"/>
    <w:rsid w:val="00040363"/>
    <w:rsid w:val="0004048E"/>
    <w:rsid w:val="00040A03"/>
    <w:rsid w:val="00040B8B"/>
    <w:rsid w:val="000410E6"/>
    <w:rsid w:val="000412D3"/>
    <w:rsid w:val="00041535"/>
    <w:rsid w:val="000416D1"/>
    <w:rsid w:val="000418D7"/>
    <w:rsid w:val="00041D10"/>
    <w:rsid w:val="00042064"/>
    <w:rsid w:val="00042134"/>
    <w:rsid w:val="000429D0"/>
    <w:rsid w:val="00042A19"/>
    <w:rsid w:val="00042AAD"/>
    <w:rsid w:val="00043159"/>
    <w:rsid w:val="0004327D"/>
    <w:rsid w:val="00043336"/>
    <w:rsid w:val="00043603"/>
    <w:rsid w:val="0004439A"/>
    <w:rsid w:val="00044719"/>
    <w:rsid w:val="00044871"/>
    <w:rsid w:val="00044E53"/>
    <w:rsid w:val="000450E7"/>
    <w:rsid w:val="000452D2"/>
    <w:rsid w:val="00045794"/>
    <w:rsid w:val="00045E47"/>
    <w:rsid w:val="000462E7"/>
    <w:rsid w:val="0004638A"/>
    <w:rsid w:val="000465B2"/>
    <w:rsid w:val="000468A3"/>
    <w:rsid w:val="00046AA1"/>
    <w:rsid w:val="00046D6A"/>
    <w:rsid w:val="00046F2B"/>
    <w:rsid w:val="000473A6"/>
    <w:rsid w:val="00047C91"/>
    <w:rsid w:val="00047F08"/>
    <w:rsid w:val="0005024B"/>
    <w:rsid w:val="00050289"/>
    <w:rsid w:val="000503D8"/>
    <w:rsid w:val="000508B5"/>
    <w:rsid w:val="00050D64"/>
    <w:rsid w:val="00050F1D"/>
    <w:rsid w:val="00051253"/>
    <w:rsid w:val="00051628"/>
    <w:rsid w:val="00051DBC"/>
    <w:rsid w:val="0005250E"/>
    <w:rsid w:val="00052B2F"/>
    <w:rsid w:val="00052E4F"/>
    <w:rsid w:val="00052E71"/>
    <w:rsid w:val="000538E6"/>
    <w:rsid w:val="00053F95"/>
    <w:rsid w:val="000544D3"/>
    <w:rsid w:val="000544EA"/>
    <w:rsid w:val="00054832"/>
    <w:rsid w:val="00054C38"/>
    <w:rsid w:val="00055436"/>
    <w:rsid w:val="00055AED"/>
    <w:rsid w:val="00055E01"/>
    <w:rsid w:val="000569BA"/>
    <w:rsid w:val="00056A52"/>
    <w:rsid w:val="00056B62"/>
    <w:rsid w:val="00056FEE"/>
    <w:rsid w:val="0005718D"/>
    <w:rsid w:val="000574C8"/>
    <w:rsid w:val="00057521"/>
    <w:rsid w:val="0005791C"/>
    <w:rsid w:val="00057965"/>
    <w:rsid w:val="00057E8F"/>
    <w:rsid w:val="000600B7"/>
    <w:rsid w:val="0006033D"/>
    <w:rsid w:val="00060553"/>
    <w:rsid w:val="000609FE"/>
    <w:rsid w:val="00061F6B"/>
    <w:rsid w:val="00061FBD"/>
    <w:rsid w:val="0006220A"/>
    <w:rsid w:val="000626C6"/>
    <w:rsid w:val="00062708"/>
    <w:rsid w:val="00062C1A"/>
    <w:rsid w:val="00062D5C"/>
    <w:rsid w:val="00062DAD"/>
    <w:rsid w:val="000633DE"/>
    <w:rsid w:val="00063412"/>
    <w:rsid w:val="000637DE"/>
    <w:rsid w:val="000639F0"/>
    <w:rsid w:val="0006424C"/>
    <w:rsid w:val="0006453B"/>
    <w:rsid w:val="00065F79"/>
    <w:rsid w:val="0006620D"/>
    <w:rsid w:val="000663C7"/>
    <w:rsid w:val="00066759"/>
    <w:rsid w:val="000667BB"/>
    <w:rsid w:val="00066836"/>
    <w:rsid w:val="00066863"/>
    <w:rsid w:val="000669D1"/>
    <w:rsid w:val="00066BF0"/>
    <w:rsid w:val="00066D99"/>
    <w:rsid w:val="00066F0B"/>
    <w:rsid w:val="000679B4"/>
    <w:rsid w:val="000679D2"/>
    <w:rsid w:val="000679F3"/>
    <w:rsid w:val="00067B5B"/>
    <w:rsid w:val="00067E4F"/>
    <w:rsid w:val="00067FC7"/>
    <w:rsid w:val="000704ED"/>
    <w:rsid w:val="00070551"/>
    <w:rsid w:val="000706FF"/>
    <w:rsid w:val="00070739"/>
    <w:rsid w:val="00071948"/>
    <w:rsid w:val="0007197A"/>
    <w:rsid w:val="000719B7"/>
    <w:rsid w:val="00071CBC"/>
    <w:rsid w:val="00071FC9"/>
    <w:rsid w:val="00072001"/>
    <w:rsid w:val="0007279D"/>
    <w:rsid w:val="0007288C"/>
    <w:rsid w:val="0007291F"/>
    <w:rsid w:val="00072B42"/>
    <w:rsid w:val="00072B44"/>
    <w:rsid w:val="00072BDD"/>
    <w:rsid w:val="00072E50"/>
    <w:rsid w:val="00073309"/>
    <w:rsid w:val="00073C7C"/>
    <w:rsid w:val="00074244"/>
    <w:rsid w:val="000744C7"/>
    <w:rsid w:val="0007471D"/>
    <w:rsid w:val="00074770"/>
    <w:rsid w:val="00074A9C"/>
    <w:rsid w:val="00074AFE"/>
    <w:rsid w:val="00074CCB"/>
    <w:rsid w:val="00074E13"/>
    <w:rsid w:val="000752DB"/>
    <w:rsid w:val="000758C6"/>
    <w:rsid w:val="00075BF3"/>
    <w:rsid w:val="00076427"/>
    <w:rsid w:val="00076916"/>
    <w:rsid w:val="00076BAE"/>
    <w:rsid w:val="00076BDC"/>
    <w:rsid w:val="00076CE7"/>
    <w:rsid w:val="00076CFC"/>
    <w:rsid w:val="00076EA1"/>
    <w:rsid w:val="0007738F"/>
    <w:rsid w:val="000773B8"/>
    <w:rsid w:val="000774AD"/>
    <w:rsid w:val="000776D6"/>
    <w:rsid w:val="00077748"/>
    <w:rsid w:val="00077C6A"/>
    <w:rsid w:val="00077EC6"/>
    <w:rsid w:val="00077EFA"/>
    <w:rsid w:val="0008036E"/>
    <w:rsid w:val="00080617"/>
    <w:rsid w:val="00080975"/>
    <w:rsid w:val="00080E07"/>
    <w:rsid w:val="0008110E"/>
    <w:rsid w:val="000816C8"/>
    <w:rsid w:val="000819EB"/>
    <w:rsid w:val="0008262E"/>
    <w:rsid w:val="00082645"/>
    <w:rsid w:val="00082667"/>
    <w:rsid w:val="00082B68"/>
    <w:rsid w:val="00083A33"/>
    <w:rsid w:val="00083A62"/>
    <w:rsid w:val="00083AB9"/>
    <w:rsid w:val="00084404"/>
    <w:rsid w:val="000845DB"/>
    <w:rsid w:val="000857D4"/>
    <w:rsid w:val="00085CC9"/>
    <w:rsid w:val="0008615B"/>
    <w:rsid w:val="00086204"/>
    <w:rsid w:val="000862A5"/>
    <w:rsid w:val="00086549"/>
    <w:rsid w:val="00086664"/>
    <w:rsid w:val="00086D3C"/>
    <w:rsid w:val="00086D87"/>
    <w:rsid w:val="00086FAB"/>
    <w:rsid w:val="000872C3"/>
    <w:rsid w:val="0008753C"/>
    <w:rsid w:val="00087F69"/>
    <w:rsid w:val="00090007"/>
    <w:rsid w:val="00090073"/>
    <w:rsid w:val="00090380"/>
    <w:rsid w:val="00090B12"/>
    <w:rsid w:val="00090BAB"/>
    <w:rsid w:val="00090DF9"/>
    <w:rsid w:val="00090E37"/>
    <w:rsid w:val="00090EC7"/>
    <w:rsid w:val="00090F09"/>
    <w:rsid w:val="000911AF"/>
    <w:rsid w:val="00091462"/>
    <w:rsid w:val="00091463"/>
    <w:rsid w:val="0009175C"/>
    <w:rsid w:val="00091A8E"/>
    <w:rsid w:val="00091BDD"/>
    <w:rsid w:val="00091CD9"/>
    <w:rsid w:val="00091CE7"/>
    <w:rsid w:val="00091D8A"/>
    <w:rsid w:val="00092016"/>
    <w:rsid w:val="0009205E"/>
    <w:rsid w:val="00092808"/>
    <w:rsid w:val="00092C76"/>
    <w:rsid w:val="00092E23"/>
    <w:rsid w:val="00092E3B"/>
    <w:rsid w:val="00092FA2"/>
    <w:rsid w:val="00093130"/>
    <w:rsid w:val="000935F6"/>
    <w:rsid w:val="0009375F"/>
    <w:rsid w:val="00093C5C"/>
    <w:rsid w:val="00093DE5"/>
    <w:rsid w:val="00094792"/>
    <w:rsid w:val="00094CDB"/>
    <w:rsid w:val="00094EB7"/>
    <w:rsid w:val="00094F69"/>
    <w:rsid w:val="000950CD"/>
    <w:rsid w:val="00095335"/>
    <w:rsid w:val="000957FB"/>
    <w:rsid w:val="000958B5"/>
    <w:rsid w:val="00095AFF"/>
    <w:rsid w:val="00095D84"/>
    <w:rsid w:val="00096158"/>
    <w:rsid w:val="00096341"/>
    <w:rsid w:val="0009638A"/>
    <w:rsid w:val="000967FA"/>
    <w:rsid w:val="000969E3"/>
    <w:rsid w:val="00096AE0"/>
    <w:rsid w:val="00096CF9"/>
    <w:rsid w:val="00097162"/>
    <w:rsid w:val="00097262"/>
    <w:rsid w:val="00097D5F"/>
    <w:rsid w:val="000A036E"/>
    <w:rsid w:val="000A0693"/>
    <w:rsid w:val="000A09F2"/>
    <w:rsid w:val="000A0C74"/>
    <w:rsid w:val="000A0CCB"/>
    <w:rsid w:val="000A12B4"/>
    <w:rsid w:val="000A1706"/>
    <w:rsid w:val="000A18B7"/>
    <w:rsid w:val="000A1BF8"/>
    <w:rsid w:val="000A1C54"/>
    <w:rsid w:val="000A209C"/>
    <w:rsid w:val="000A21ED"/>
    <w:rsid w:val="000A27C1"/>
    <w:rsid w:val="000A2CEB"/>
    <w:rsid w:val="000A2CF2"/>
    <w:rsid w:val="000A2DBA"/>
    <w:rsid w:val="000A35E2"/>
    <w:rsid w:val="000A36AA"/>
    <w:rsid w:val="000A427A"/>
    <w:rsid w:val="000A4EFF"/>
    <w:rsid w:val="000A5204"/>
    <w:rsid w:val="000A59AB"/>
    <w:rsid w:val="000A59FF"/>
    <w:rsid w:val="000A5A1E"/>
    <w:rsid w:val="000A5D5A"/>
    <w:rsid w:val="000A5F6F"/>
    <w:rsid w:val="000A6344"/>
    <w:rsid w:val="000A6BC3"/>
    <w:rsid w:val="000A6F08"/>
    <w:rsid w:val="000A7038"/>
    <w:rsid w:val="000A729B"/>
    <w:rsid w:val="000A72E1"/>
    <w:rsid w:val="000A780D"/>
    <w:rsid w:val="000A7878"/>
    <w:rsid w:val="000A7A51"/>
    <w:rsid w:val="000A7D24"/>
    <w:rsid w:val="000A7F7B"/>
    <w:rsid w:val="000B0239"/>
    <w:rsid w:val="000B0540"/>
    <w:rsid w:val="000B0546"/>
    <w:rsid w:val="000B0866"/>
    <w:rsid w:val="000B08F4"/>
    <w:rsid w:val="000B091B"/>
    <w:rsid w:val="000B0C56"/>
    <w:rsid w:val="000B0E17"/>
    <w:rsid w:val="000B1221"/>
    <w:rsid w:val="000B123A"/>
    <w:rsid w:val="000B12EC"/>
    <w:rsid w:val="000B147D"/>
    <w:rsid w:val="000B1883"/>
    <w:rsid w:val="000B1EFE"/>
    <w:rsid w:val="000B1FA0"/>
    <w:rsid w:val="000B2217"/>
    <w:rsid w:val="000B230D"/>
    <w:rsid w:val="000B2324"/>
    <w:rsid w:val="000B2CB1"/>
    <w:rsid w:val="000B3034"/>
    <w:rsid w:val="000B337C"/>
    <w:rsid w:val="000B3436"/>
    <w:rsid w:val="000B34A5"/>
    <w:rsid w:val="000B3818"/>
    <w:rsid w:val="000B39CD"/>
    <w:rsid w:val="000B3F87"/>
    <w:rsid w:val="000B3FBE"/>
    <w:rsid w:val="000B442B"/>
    <w:rsid w:val="000B4A34"/>
    <w:rsid w:val="000B4A38"/>
    <w:rsid w:val="000B4A53"/>
    <w:rsid w:val="000B4B89"/>
    <w:rsid w:val="000B4FD4"/>
    <w:rsid w:val="000B5042"/>
    <w:rsid w:val="000B5109"/>
    <w:rsid w:val="000B55C9"/>
    <w:rsid w:val="000B5836"/>
    <w:rsid w:val="000B5B6E"/>
    <w:rsid w:val="000B5F0E"/>
    <w:rsid w:val="000B6074"/>
    <w:rsid w:val="000B6A0D"/>
    <w:rsid w:val="000B6D5E"/>
    <w:rsid w:val="000B6E70"/>
    <w:rsid w:val="000B74FC"/>
    <w:rsid w:val="000B7533"/>
    <w:rsid w:val="000B7707"/>
    <w:rsid w:val="000B7D48"/>
    <w:rsid w:val="000B7EFF"/>
    <w:rsid w:val="000C0320"/>
    <w:rsid w:val="000C054E"/>
    <w:rsid w:val="000C0566"/>
    <w:rsid w:val="000C0789"/>
    <w:rsid w:val="000C096E"/>
    <w:rsid w:val="000C0AE2"/>
    <w:rsid w:val="000C0D5F"/>
    <w:rsid w:val="000C11A8"/>
    <w:rsid w:val="000C1208"/>
    <w:rsid w:val="000C17D7"/>
    <w:rsid w:val="000C197F"/>
    <w:rsid w:val="000C1D9C"/>
    <w:rsid w:val="000C23B4"/>
    <w:rsid w:val="000C37B4"/>
    <w:rsid w:val="000C3835"/>
    <w:rsid w:val="000C3B0B"/>
    <w:rsid w:val="000C3B99"/>
    <w:rsid w:val="000C3CA1"/>
    <w:rsid w:val="000C3D2B"/>
    <w:rsid w:val="000C4012"/>
    <w:rsid w:val="000C4366"/>
    <w:rsid w:val="000C5016"/>
    <w:rsid w:val="000C562F"/>
    <w:rsid w:val="000C5961"/>
    <w:rsid w:val="000C5A6F"/>
    <w:rsid w:val="000C6397"/>
    <w:rsid w:val="000C6458"/>
    <w:rsid w:val="000C6459"/>
    <w:rsid w:val="000C652F"/>
    <w:rsid w:val="000C65D6"/>
    <w:rsid w:val="000C6652"/>
    <w:rsid w:val="000C6655"/>
    <w:rsid w:val="000C6667"/>
    <w:rsid w:val="000C6914"/>
    <w:rsid w:val="000C6A67"/>
    <w:rsid w:val="000C71B0"/>
    <w:rsid w:val="000C73BB"/>
    <w:rsid w:val="000C7550"/>
    <w:rsid w:val="000C7A2C"/>
    <w:rsid w:val="000C7CE0"/>
    <w:rsid w:val="000C7E95"/>
    <w:rsid w:val="000D00B3"/>
    <w:rsid w:val="000D037B"/>
    <w:rsid w:val="000D05BF"/>
    <w:rsid w:val="000D0782"/>
    <w:rsid w:val="000D094F"/>
    <w:rsid w:val="000D0D65"/>
    <w:rsid w:val="000D0EFA"/>
    <w:rsid w:val="000D1682"/>
    <w:rsid w:val="000D1771"/>
    <w:rsid w:val="000D1A51"/>
    <w:rsid w:val="000D1ED6"/>
    <w:rsid w:val="000D240A"/>
    <w:rsid w:val="000D24D5"/>
    <w:rsid w:val="000D275B"/>
    <w:rsid w:val="000D2915"/>
    <w:rsid w:val="000D29DB"/>
    <w:rsid w:val="000D2A0B"/>
    <w:rsid w:val="000D2D41"/>
    <w:rsid w:val="000D2DE5"/>
    <w:rsid w:val="000D32CD"/>
    <w:rsid w:val="000D3667"/>
    <w:rsid w:val="000D3842"/>
    <w:rsid w:val="000D3B53"/>
    <w:rsid w:val="000D417C"/>
    <w:rsid w:val="000D458D"/>
    <w:rsid w:val="000D45C4"/>
    <w:rsid w:val="000D49A3"/>
    <w:rsid w:val="000D4E81"/>
    <w:rsid w:val="000D4F85"/>
    <w:rsid w:val="000D51E4"/>
    <w:rsid w:val="000D5355"/>
    <w:rsid w:val="000D57E0"/>
    <w:rsid w:val="000D5D98"/>
    <w:rsid w:val="000D6183"/>
    <w:rsid w:val="000D6400"/>
    <w:rsid w:val="000D6483"/>
    <w:rsid w:val="000D68E5"/>
    <w:rsid w:val="000D6A72"/>
    <w:rsid w:val="000D6AC0"/>
    <w:rsid w:val="000D6B2F"/>
    <w:rsid w:val="000D6F30"/>
    <w:rsid w:val="000D7059"/>
    <w:rsid w:val="000D7091"/>
    <w:rsid w:val="000D732A"/>
    <w:rsid w:val="000D7607"/>
    <w:rsid w:val="000D7846"/>
    <w:rsid w:val="000D7859"/>
    <w:rsid w:val="000D7CF4"/>
    <w:rsid w:val="000D7DA5"/>
    <w:rsid w:val="000E014F"/>
    <w:rsid w:val="000E06BA"/>
    <w:rsid w:val="000E0777"/>
    <w:rsid w:val="000E0B20"/>
    <w:rsid w:val="000E0C9E"/>
    <w:rsid w:val="000E1D50"/>
    <w:rsid w:val="000E204E"/>
    <w:rsid w:val="000E21C8"/>
    <w:rsid w:val="000E234D"/>
    <w:rsid w:val="000E266C"/>
    <w:rsid w:val="000E28A0"/>
    <w:rsid w:val="000E2AD8"/>
    <w:rsid w:val="000E3116"/>
    <w:rsid w:val="000E36E0"/>
    <w:rsid w:val="000E375B"/>
    <w:rsid w:val="000E38A9"/>
    <w:rsid w:val="000E3A51"/>
    <w:rsid w:val="000E3C5C"/>
    <w:rsid w:val="000E47DF"/>
    <w:rsid w:val="000E4CAE"/>
    <w:rsid w:val="000E4F63"/>
    <w:rsid w:val="000E5067"/>
    <w:rsid w:val="000E532C"/>
    <w:rsid w:val="000E5509"/>
    <w:rsid w:val="000E58FC"/>
    <w:rsid w:val="000E5949"/>
    <w:rsid w:val="000E59E0"/>
    <w:rsid w:val="000E5C8B"/>
    <w:rsid w:val="000E60F5"/>
    <w:rsid w:val="000E6216"/>
    <w:rsid w:val="000E628E"/>
    <w:rsid w:val="000E6D64"/>
    <w:rsid w:val="000E6E43"/>
    <w:rsid w:val="000E6E80"/>
    <w:rsid w:val="000E6F32"/>
    <w:rsid w:val="000E7143"/>
    <w:rsid w:val="000E72B6"/>
    <w:rsid w:val="000E7304"/>
    <w:rsid w:val="000E77F1"/>
    <w:rsid w:val="000E7A4E"/>
    <w:rsid w:val="000E7D84"/>
    <w:rsid w:val="000F0130"/>
    <w:rsid w:val="000F0784"/>
    <w:rsid w:val="000F0B66"/>
    <w:rsid w:val="000F0E17"/>
    <w:rsid w:val="000F0E72"/>
    <w:rsid w:val="000F0F2E"/>
    <w:rsid w:val="000F1003"/>
    <w:rsid w:val="000F108E"/>
    <w:rsid w:val="000F1365"/>
    <w:rsid w:val="000F17B7"/>
    <w:rsid w:val="000F185F"/>
    <w:rsid w:val="000F1A3D"/>
    <w:rsid w:val="000F2B9B"/>
    <w:rsid w:val="000F2C80"/>
    <w:rsid w:val="000F2EFB"/>
    <w:rsid w:val="000F38A5"/>
    <w:rsid w:val="000F38DD"/>
    <w:rsid w:val="000F39A8"/>
    <w:rsid w:val="000F3A8B"/>
    <w:rsid w:val="000F3D39"/>
    <w:rsid w:val="000F3D54"/>
    <w:rsid w:val="000F3D5A"/>
    <w:rsid w:val="000F42F8"/>
    <w:rsid w:val="000F432A"/>
    <w:rsid w:val="000F4672"/>
    <w:rsid w:val="000F470B"/>
    <w:rsid w:val="000F4B80"/>
    <w:rsid w:val="000F4C2F"/>
    <w:rsid w:val="000F4CD9"/>
    <w:rsid w:val="000F6274"/>
    <w:rsid w:val="000F6815"/>
    <w:rsid w:val="000F68F3"/>
    <w:rsid w:val="000F6AA9"/>
    <w:rsid w:val="000F6AD5"/>
    <w:rsid w:val="000F6B42"/>
    <w:rsid w:val="000F7098"/>
    <w:rsid w:val="000F70E6"/>
    <w:rsid w:val="000F79BC"/>
    <w:rsid w:val="000F7B81"/>
    <w:rsid w:val="000F7F89"/>
    <w:rsid w:val="001005CD"/>
    <w:rsid w:val="0010061C"/>
    <w:rsid w:val="00100682"/>
    <w:rsid w:val="00100AC2"/>
    <w:rsid w:val="00100BDD"/>
    <w:rsid w:val="001013FB"/>
    <w:rsid w:val="001014DD"/>
    <w:rsid w:val="001018AC"/>
    <w:rsid w:val="00101CA6"/>
    <w:rsid w:val="00102243"/>
    <w:rsid w:val="00102369"/>
    <w:rsid w:val="0010237E"/>
    <w:rsid w:val="001025EB"/>
    <w:rsid w:val="00102A17"/>
    <w:rsid w:val="00102D68"/>
    <w:rsid w:val="00102E16"/>
    <w:rsid w:val="00102E95"/>
    <w:rsid w:val="00102F5F"/>
    <w:rsid w:val="00103593"/>
    <w:rsid w:val="001035E6"/>
    <w:rsid w:val="001038F0"/>
    <w:rsid w:val="00103ADF"/>
    <w:rsid w:val="00103B53"/>
    <w:rsid w:val="00103D5F"/>
    <w:rsid w:val="00103ED4"/>
    <w:rsid w:val="001043C1"/>
    <w:rsid w:val="001046D9"/>
    <w:rsid w:val="00104BAE"/>
    <w:rsid w:val="00105116"/>
    <w:rsid w:val="00105286"/>
    <w:rsid w:val="0010585C"/>
    <w:rsid w:val="00105BA1"/>
    <w:rsid w:val="00105EA0"/>
    <w:rsid w:val="00105EAC"/>
    <w:rsid w:val="00105FED"/>
    <w:rsid w:val="00106246"/>
    <w:rsid w:val="0010667C"/>
    <w:rsid w:val="001069ED"/>
    <w:rsid w:val="00106CFB"/>
    <w:rsid w:val="00106DDA"/>
    <w:rsid w:val="00106E3A"/>
    <w:rsid w:val="00107164"/>
    <w:rsid w:val="00107595"/>
    <w:rsid w:val="0010762D"/>
    <w:rsid w:val="001077D4"/>
    <w:rsid w:val="00107E32"/>
    <w:rsid w:val="00107EDA"/>
    <w:rsid w:val="001101D3"/>
    <w:rsid w:val="0011038D"/>
    <w:rsid w:val="00110502"/>
    <w:rsid w:val="00110AE0"/>
    <w:rsid w:val="001110BF"/>
    <w:rsid w:val="0011114C"/>
    <w:rsid w:val="00111368"/>
    <w:rsid w:val="00111C17"/>
    <w:rsid w:val="001120EA"/>
    <w:rsid w:val="0011213F"/>
    <w:rsid w:val="0011215C"/>
    <w:rsid w:val="0011216F"/>
    <w:rsid w:val="0011245B"/>
    <w:rsid w:val="001125CE"/>
    <w:rsid w:val="00112A48"/>
    <w:rsid w:val="00112E19"/>
    <w:rsid w:val="00112E43"/>
    <w:rsid w:val="00112EB7"/>
    <w:rsid w:val="00113081"/>
    <w:rsid w:val="0011336B"/>
    <w:rsid w:val="00113B4E"/>
    <w:rsid w:val="00113CFF"/>
    <w:rsid w:val="00113D5F"/>
    <w:rsid w:val="00113E93"/>
    <w:rsid w:val="00113EF7"/>
    <w:rsid w:val="0011417D"/>
    <w:rsid w:val="00114456"/>
    <w:rsid w:val="001145AF"/>
    <w:rsid w:val="001147EB"/>
    <w:rsid w:val="001149D8"/>
    <w:rsid w:val="00114B83"/>
    <w:rsid w:val="00114BFA"/>
    <w:rsid w:val="00114DB4"/>
    <w:rsid w:val="00114ED2"/>
    <w:rsid w:val="0011531A"/>
    <w:rsid w:val="00115DB3"/>
    <w:rsid w:val="00115E4A"/>
    <w:rsid w:val="001160C8"/>
    <w:rsid w:val="00116347"/>
    <w:rsid w:val="0011634B"/>
    <w:rsid w:val="00116D92"/>
    <w:rsid w:val="00116F3B"/>
    <w:rsid w:val="00116F6D"/>
    <w:rsid w:val="001170BA"/>
    <w:rsid w:val="00117339"/>
    <w:rsid w:val="001175C0"/>
    <w:rsid w:val="00120230"/>
    <w:rsid w:val="00120575"/>
    <w:rsid w:val="00120595"/>
    <w:rsid w:val="001205B4"/>
    <w:rsid w:val="001207BC"/>
    <w:rsid w:val="00121381"/>
    <w:rsid w:val="00121D5B"/>
    <w:rsid w:val="00121F26"/>
    <w:rsid w:val="001220EA"/>
    <w:rsid w:val="00122391"/>
    <w:rsid w:val="0012284D"/>
    <w:rsid w:val="001228DF"/>
    <w:rsid w:val="0012293F"/>
    <w:rsid w:val="00122BA0"/>
    <w:rsid w:val="00123288"/>
    <w:rsid w:val="00123897"/>
    <w:rsid w:val="00123C1F"/>
    <w:rsid w:val="00123E84"/>
    <w:rsid w:val="00124C70"/>
    <w:rsid w:val="00124C9E"/>
    <w:rsid w:val="00125025"/>
    <w:rsid w:val="0012502E"/>
    <w:rsid w:val="00125335"/>
    <w:rsid w:val="0012568D"/>
    <w:rsid w:val="001257CB"/>
    <w:rsid w:val="00125864"/>
    <w:rsid w:val="001258CB"/>
    <w:rsid w:val="00125D8C"/>
    <w:rsid w:val="001260A1"/>
    <w:rsid w:val="001261F7"/>
    <w:rsid w:val="0012658B"/>
    <w:rsid w:val="001265ED"/>
    <w:rsid w:val="0012693D"/>
    <w:rsid w:val="00126C04"/>
    <w:rsid w:val="0012723A"/>
    <w:rsid w:val="0012740D"/>
    <w:rsid w:val="00127535"/>
    <w:rsid w:val="00127771"/>
    <w:rsid w:val="00127778"/>
    <w:rsid w:val="00127AE3"/>
    <w:rsid w:val="00127BA9"/>
    <w:rsid w:val="00127CA9"/>
    <w:rsid w:val="00127FA1"/>
    <w:rsid w:val="00130207"/>
    <w:rsid w:val="0013055E"/>
    <w:rsid w:val="0013064D"/>
    <w:rsid w:val="00130AE7"/>
    <w:rsid w:val="00130E68"/>
    <w:rsid w:val="001313FC"/>
    <w:rsid w:val="0013168F"/>
    <w:rsid w:val="00131967"/>
    <w:rsid w:val="00132540"/>
    <w:rsid w:val="001326BE"/>
    <w:rsid w:val="00132860"/>
    <w:rsid w:val="0013291D"/>
    <w:rsid w:val="00132A56"/>
    <w:rsid w:val="00132E6C"/>
    <w:rsid w:val="00132EA9"/>
    <w:rsid w:val="0013398C"/>
    <w:rsid w:val="00133F4B"/>
    <w:rsid w:val="00133F83"/>
    <w:rsid w:val="00134081"/>
    <w:rsid w:val="00134284"/>
    <w:rsid w:val="001342EC"/>
    <w:rsid w:val="0013467D"/>
    <w:rsid w:val="001346BC"/>
    <w:rsid w:val="00134725"/>
    <w:rsid w:val="00134AED"/>
    <w:rsid w:val="00134BA5"/>
    <w:rsid w:val="00134EE3"/>
    <w:rsid w:val="0013503B"/>
    <w:rsid w:val="001353B8"/>
    <w:rsid w:val="0013543F"/>
    <w:rsid w:val="00135951"/>
    <w:rsid w:val="0013599C"/>
    <w:rsid w:val="00135A36"/>
    <w:rsid w:val="00135CFE"/>
    <w:rsid w:val="0013624C"/>
    <w:rsid w:val="00136275"/>
    <w:rsid w:val="00136AE5"/>
    <w:rsid w:val="00136E5E"/>
    <w:rsid w:val="0013749D"/>
    <w:rsid w:val="00137EC0"/>
    <w:rsid w:val="00137EF8"/>
    <w:rsid w:val="001400AA"/>
    <w:rsid w:val="001400AE"/>
    <w:rsid w:val="001400DB"/>
    <w:rsid w:val="0014016D"/>
    <w:rsid w:val="00140277"/>
    <w:rsid w:val="0014047C"/>
    <w:rsid w:val="00140515"/>
    <w:rsid w:val="001408E4"/>
    <w:rsid w:val="00140B8E"/>
    <w:rsid w:val="00140F6F"/>
    <w:rsid w:val="0014113D"/>
    <w:rsid w:val="001411F2"/>
    <w:rsid w:val="001417B5"/>
    <w:rsid w:val="00141932"/>
    <w:rsid w:val="001423DC"/>
    <w:rsid w:val="00142943"/>
    <w:rsid w:val="00142C7A"/>
    <w:rsid w:val="00142ED0"/>
    <w:rsid w:val="00143571"/>
    <w:rsid w:val="00143779"/>
    <w:rsid w:val="00143B06"/>
    <w:rsid w:val="00143E9B"/>
    <w:rsid w:val="00143F18"/>
    <w:rsid w:val="00144A4C"/>
    <w:rsid w:val="00144B5D"/>
    <w:rsid w:val="00144F0B"/>
    <w:rsid w:val="001451F3"/>
    <w:rsid w:val="00145419"/>
    <w:rsid w:val="00145507"/>
    <w:rsid w:val="00145865"/>
    <w:rsid w:val="00145ABA"/>
    <w:rsid w:val="00145BA0"/>
    <w:rsid w:val="00145E26"/>
    <w:rsid w:val="001466C2"/>
    <w:rsid w:val="00146D43"/>
    <w:rsid w:val="00146F0C"/>
    <w:rsid w:val="001473DF"/>
    <w:rsid w:val="00147A8D"/>
    <w:rsid w:val="0015025E"/>
    <w:rsid w:val="00150372"/>
    <w:rsid w:val="001509B3"/>
    <w:rsid w:val="00150A95"/>
    <w:rsid w:val="00150AC1"/>
    <w:rsid w:val="00150CD1"/>
    <w:rsid w:val="00151345"/>
    <w:rsid w:val="00151C73"/>
    <w:rsid w:val="0015229B"/>
    <w:rsid w:val="001523CF"/>
    <w:rsid w:val="0015293A"/>
    <w:rsid w:val="00152CD3"/>
    <w:rsid w:val="001537D8"/>
    <w:rsid w:val="00153803"/>
    <w:rsid w:val="0015390E"/>
    <w:rsid w:val="00153C20"/>
    <w:rsid w:val="00153C93"/>
    <w:rsid w:val="001544B7"/>
    <w:rsid w:val="001544C6"/>
    <w:rsid w:val="00154747"/>
    <w:rsid w:val="00154E8F"/>
    <w:rsid w:val="00154EE1"/>
    <w:rsid w:val="001551C4"/>
    <w:rsid w:val="00155258"/>
    <w:rsid w:val="00155666"/>
    <w:rsid w:val="00155677"/>
    <w:rsid w:val="0015582F"/>
    <w:rsid w:val="00155ABD"/>
    <w:rsid w:val="00155D74"/>
    <w:rsid w:val="00156058"/>
    <w:rsid w:val="00156428"/>
    <w:rsid w:val="0015659F"/>
    <w:rsid w:val="00156609"/>
    <w:rsid w:val="00156674"/>
    <w:rsid w:val="00156B04"/>
    <w:rsid w:val="00156B94"/>
    <w:rsid w:val="00156CBE"/>
    <w:rsid w:val="00157139"/>
    <w:rsid w:val="0015728D"/>
    <w:rsid w:val="00157440"/>
    <w:rsid w:val="001574B6"/>
    <w:rsid w:val="00157771"/>
    <w:rsid w:val="00157CD8"/>
    <w:rsid w:val="00157DB8"/>
    <w:rsid w:val="00157FD7"/>
    <w:rsid w:val="0016077D"/>
    <w:rsid w:val="00161311"/>
    <w:rsid w:val="0016147A"/>
    <w:rsid w:val="001619C1"/>
    <w:rsid w:val="00161B04"/>
    <w:rsid w:val="00161DAC"/>
    <w:rsid w:val="0016239B"/>
    <w:rsid w:val="001623D3"/>
    <w:rsid w:val="001624F8"/>
    <w:rsid w:val="001626F2"/>
    <w:rsid w:val="00162932"/>
    <w:rsid w:val="00162D98"/>
    <w:rsid w:val="0016320C"/>
    <w:rsid w:val="001634BD"/>
    <w:rsid w:val="001634DE"/>
    <w:rsid w:val="0016384B"/>
    <w:rsid w:val="00163BD9"/>
    <w:rsid w:val="00163C02"/>
    <w:rsid w:val="0016425B"/>
    <w:rsid w:val="001645CA"/>
    <w:rsid w:val="001646CC"/>
    <w:rsid w:val="0016480D"/>
    <w:rsid w:val="00164968"/>
    <w:rsid w:val="00164A7A"/>
    <w:rsid w:val="0016531B"/>
    <w:rsid w:val="001653CB"/>
    <w:rsid w:val="001654E3"/>
    <w:rsid w:val="00165F4E"/>
    <w:rsid w:val="00166136"/>
    <w:rsid w:val="001661E5"/>
    <w:rsid w:val="00166415"/>
    <w:rsid w:val="0016664E"/>
    <w:rsid w:val="00166C80"/>
    <w:rsid w:val="00167645"/>
    <w:rsid w:val="00167AFB"/>
    <w:rsid w:val="00167B45"/>
    <w:rsid w:val="00167C41"/>
    <w:rsid w:val="00167F12"/>
    <w:rsid w:val="0017029D"/>
    <w:rsid w:val="00170640"/>
    <w:rsid w:val="00170B78"/>
    <w:rsid w:val="00170E4A"/>
    <w:rsid w:val="00170F56"/>
    <w:rsid w:val="001715E3"/>
    <w:rsid w:val="00171904"/>
    <w:rsid w:val="0017200C"/>
    <w:rsid w:val="001721BB"/>
    <w:rsid w:val="001723B6"/>
    <w:rsid w:val="0017248E"/>
    <w:rsid w:val="00172835"/>
    <w:rsid w:val="001728BD"/>
    <w:rsid w:val="00172AB8"/>
    <w:rsid w:val="00172ABD"/>
    <w:rsid w:val="00172B6D"/>
    <w:rsid w:val="00172B92"/>
    <w:rsid w:val="00172BEF"/>
    <w:rsid w:val="00172DCA"/>
    <w:rsid w:val="00172EBE"/>
    <w:rsid w:val="00172F6F"/>
    <w:rsid w:val="0017344D"/>
    <w:rsid w:val="001734C2"/>
    <w:rsid w:val="00173608"/>
    <w:rsid w:val="001739B0"/>
    <w:rsid w:val="001740A9"/>
    <w:rsid w:val="00174784"/>
    <w:rsid w:val="00174845"/>
    <w:rsid w:val="00174F97"/>
    <w:rsid w:val="00174FFF"/>
    <w:rsid w:val="001751C8"/>
    <w:rsid w:val="00175788"/>
    <w:rsid w:val="001758F8"/>
    <w:rsid w:val="00175D43"/>
    <w:rsid w:val="00175F59"/>
    <w:rsid w:val="001760AE"/>
    <w:rsid w:val="0017664E"/>
    <w:rsid w:val="00176658"/>
    <w:rsid w:val="00176889"/>
    <w:rsid w:val="00176AEE"/>
    <w:rsid w:val="00176E86"/>
    <w:rsid w:val="001772BA"/>
    <w:rsid w:val="001777BA"/>
    <w:rsid w:val="001777F5"/>
    <w:rsid w:val="001778D9"/>
    <w:rsid w:val="00177A8E"/>
    <w:rsid w:val="00177D1B"/>
    <w:rsid w:val="00177DE5"/>
    <w:rsid w:val="00177FF9"/>
    <w:rsid w:val="0018020C"/>
    <w:rsid w:val="0018032D"/>
    <w:rsid w:val="001803F7"/>
    <w:rsid w:val="00180423"/>
    <w:rsid w:val="001806EB"/>
    <w:rsid w:val="0018076E"/>
    <w:rsid w:val="00180A61"/>
    <w:rsid w:val="00180AC6"/>
    <w:rsid w:val="00180E9F"/>
    <w:rsid w:val="00181024"/>
    <w:rsid w:val="00181137"/>
    <w:rsid w:val="001814D2"/>
    <w:rsid w:val="001817F4"/>
    <w:rsid w:val="00181C63"/>
    <w:rsid w:val="001822DD"/>
    <w:rsid w:val="0018236A"/>
    <w:rsid w:val="00182873"/>
    <w:rsid w:val="00182B11"/>
    <w:rsid w:val="00183220"/>
    <w:rsid w:val="001836F2"/>
    <w:rsid w:val="001836FF"/>
    <w:rsid w:val="00183A29"/>
    <w:rsid w:val="00183D3A"/>
    <w:rsid w:val="00183D7F"/>
    <w:rsid w:val="00183DB0"/>
    <w:rsid w:val="00184159"/>
    <w:rsid w:val="00184180"/>
    <w:rsid w:val="00184596"/>
    <w:rsid w:val="00184778"/>
    <w:rsid w:val="00184CF1"/>
    <w:rsid w:val="00184EC2"/>
    <w:rsid w:val="001850AC"/>
    <w:rsid w:val="0018542B"/>
    <w:rsid w:val="001854C2"/>
    <w:rsid w:val="001854E3"/>
    <w:rsid w:val="00185510"/>
    <w:rsid w:val="0018563E"/>
    <w:rsid w:val="00185838"/>
    <w:rsid w:val="00185932"/>
    <w:rsid w:val="00185C2D"/>
    <w:rsid w:val="00185E6D"/>
    <w:rsid w:val="00185E93"/>
    <w:rsid w:val="001861A1"/>
    <w:rsid w:val="0018620E"/>
    <w:rsid w:val="0018631C"/>
    <w:rsid w:val="00186459"/>
    <w:rsid w:val="00186710"/>
    <w:rsid w:val="00186981"/>
    <w:rsid w:val="00186C39"/>
    <w:rsid w:val="00186C50"/>
    <w:rsid w:val="00186D51"/>
    <w:rsid w:val="00186F17"/>
    <w:rsid w:val="00187128"/>
    <w:rsid w:val="001871F4"/>
    <w:rsid w:val="001877F3"/>
    <w:rsid w:val="0018784D"/>
    <w:rsid w:val="00187933"/>
    <w:rsid w:val="00187AD2"/>
    <w:rsid w:val="00187B59"/>
    <w:rsid w:val="00187B88"/>
    <w:rsid w:val="00187BEF"/>
    <w:rsid w:val="00187C60"/>
    <w:rsid w:val="00187CA5"/>
    <w:rsid w:val="00187F8B"/>
    <w:rsid w:val="00187FCD"/>
    <w:rsid w:val="001902E0"/>
    <w:rsid w:val="00190689"/>
    <w:rsid w:val="001907EB"/>
    <w:rsid w:val="00190979"/>
    <w:rsid w:val="00190A24"/>
    <w:rsid w:val="00191371"/>
    <w:rsid w:val="001913DE"/>
    <w:rsid w:val="001913F2"/>
    <w:rsid w:val="001915FB"/>
    <w:rsid w:val="001919FD"/>
    <w:rsid w:val="00191F51"/>
    <w:rsid w:val="001922DC"/>
    <w:rsid w:val="0019261E"/>
    <w:rsid w:val="0019287A"/>
    <w:rsid w:val="00192A6E"/>
    <w:rsid w:val="00192A6F"/>
    <w:rsid w:val="00192C7A"/>
    <w:rsid w:val="0019318C"/>
    <w:rsid w:val="0019356E"/>
    <w:rsid w:val="0019368D"/>
    <w:rsid w:val="00193C05"/>
    <w:rsid w:val="00194294"/>
    <w:rsid w:val="0019434C"/>
    <w:rsid w:val="00195376"/>
    <w:rsid w:val="0019538E"/>
    <w:rsid w:val="00195699"/>
    <w:rsid w:val="001956B8"/>
    <w:rsid w:val="001957C4"/>
    <w:rsid w:val="00196A22"/>
    <w:rsid w:val="001977F9"/>
    <w:rsid w:val="001A0068"/>
    <w:rsid w:val="001A0081"/>
    <w:rsid w:val="001A0697"/>
    <w:rsid w:val="001A0F81"/>
    <w:rsid w:val="001A130D"/>
    <w:rsid w:val="001A1687"/>
    <w:rsid w:val="001A18F0"/>
    <w:rsid w:val="001A1A0C"/>
    <w:rsid w:val="001A22CD"/>
    <w:rsid w:val="001A2877"/>
    <w:rsid w:val="001A2DF4"/>
    <w:rsid w:val="001A2FF5"/>
    <w:rsid w:val="001A3370"/>
    <w:rsid w:val="001A3670"/>
    <w:rsid w:val="001A368D"/>
    <w:rsid w:val="001A38B8"/>
    <w:rsid w:val="001A39DD"/>
    <w:rsid w:val="001A3A9D"/>
    <w:rsid w:val="001A3B13"/>
    <w:rsid w:val="001A3C70"/>
    <w:rsid w:val="001A3F06"/>
    <w:rsid w:val="001A423F"/>
    <w:rsid w:val="001A4951"/>
    <w:rsid w:val="001A4959"/>
    <w:rsid w:val="001A4A80"/>
    <w:rsid w:val="001A4C0D"/>
    <w:rsid w:val="001A4D89"/>
    <w:rsid w:val="001A50AF"/>
    <w:rsid w:val="001A5317"/>
    <w:rsid w:val="001A54FC"/>
    <w:rsid w:val="001A57A2"/>
    <w:rsid w:val="001A580F"/>
    <w:rsid w:val="001A5BB5"/>
    <w:rsid w:val="001A5C8E"/>
    <w:rsid w:val="001A62E8"/>
    <w:rsid w:val="001A670D"/>
    <w:rsid w:val="001A6CD9"/>
    <w:rsid w:val="001A6EDD"/>
    <w:rsid w:val="001A6F6A"/>
    <w:rsid w:val="001A714C"/>
    <w:rsid w:val="001A73F5"/>
    <w:rsid w:val="001A7400"/>
    <w:rsid w:val="001A74DD"/>
    <w:rsid w:val="001A793C"/>
    <w:rsid w:val="001A7978"/>
    <w:rsid w:val="001A7B2C"/>
    <w:rsid w:val="001A7FDF"/>
    <w:rsid w:val="001B0132"/>
    <w:rsid w:val="001B060D"/>
    <w:rsid w:val="001B099B"/>
    <w:rsid w:val="001B0B20"/>
    <w:rsid w:val="001B0B57"/>
    <w:rsid w:val="001B109D"/>
    <w:rsid w:val="001B1290"/>
    <w:rsid w:val="001B1477"/>
    <w:rsid w:val="001B152A"/>
    <w:rsid w:val="001B17F9"/>
    <w:rsid w:val="001B1929"/>
    <w:rsid w:val="001B1B50"/>
    <w:rsid w:val="001B218B"/>
    <w:rsid w:val="001B2301"/>
    <w:rsid w:val="001B2561"/>
    <w:rsid w:val="001B2638"/>
    <w:rsid w:val="001B28B2"/>
    <w:rsid w:val="001B2B57"/>
    <w:rsid w:val="001B2E41"/>
    <w:rsid w:val="001B31C2"/>
    <w:rsid w:val="001B3232"/>
    <w:rsid w:val="001B329E"/>
    <w:rsid w:val="001B32A6"/>
    <w:rsid w:val="001B3439"/>
    <w:rsid w:val="001B36B9"/>
    <w:rsid w:val="001B3E43"/>
    <w:rsid w:val="001B4271"/>
    <w:rsid w:val="001B46A4"/>
    <w:rsid w:val="001B497B"/>
    <w:rsid w:val="001B49BD"/>
    <w:rsid w:val="001B4CA6"/>
    <w:rsid w:val="001B4FD4"/>
    <w:rsid w:val="001B5120"/>
    <w:rsid w:val="001B5CA7"/>
    <w:rsid w:val="001B5FB1"/>
    <w:rsid w:val="001B644A"/>
    <w:rsid w:val="001B65A4"/>
    <w:rsid w:val="001B6B22"/>
    <w:rsid w:val="001B6B71"/>
    <w:rsid w:val="001B6F86"/>
    <w:rsid w:val="001B7094"/>
    <w:rsid w:val="001B7251"/>
    <w:rsid w:val="001B7308"/>
    <w:rsid w:val="001B731E"/>
    <w:rsid w:val="001B73DD"/>
    <w:rsid w:val="001B7413"/>
    <w:rsid w:val="001B7A89"/>
    <w:rsid w:val="001B7B4F"/>
    <w:rsid w:val="001C0312"/>
    <w:rsid w:val="001C093F"/>
    <w:rsid w:val="001C0F49"/>
    <w:rsid w:val="001C12BA"/>
    <w:rsid w:val="001C1691"/>
    <w:rsid w:val="001C18F2"/>
    <w:rsid w:val="001C1BA4"/>
    <w:rsid w:val="001C1CB2"/>
    <w:rsid w:val="001C2291"/>
    <w:rsid w:val="001C22AA"/>
    <w:rsid w:val="001C234B"/>
    <w:rsid w:val="001C2377"/>
    <w:rsid w:val="001C25FD"/>
    <w:rsid w:val="001C28BF"/>
    <w:rsid w:val="001C2925"/>
    <w:rsid w:val="001C2DEF"/>
    <w:rsid w:val="001C307E"/>
    <w:rsid w:val="001C311F"/>
    <w:rsid w:val="001C33E1"/>
    <w:rsid w:val="001C3860"/>
    <w:rsid w:val="001C3EA3"/>
    <w:rsid w:val="001C4488"/>
    <w:rsid w:val="001C4A3A"/>
    <w:rsid w:val="001C4BC1"/>
    <w:rsid w:val="001C4D68"/>
    <w:rsid w:val="001C532D"/>
    <w:rsid w:val="001C5536"/>
    <w:rsid w:val="001C55FF"/>
    <w:rsid w:val="001C5D10"/>
    <w:rsid w:val="001C657B"/>
    <w:rsid w:val="001C65A0"/>
    <w:rsid w:val="001C6F60"/>
    <w:rsid w:val="001C72F5"/>
    <w:rsid w:val="001C74B3"/>
    <w:rsid w:val="001C7566"/>
    <w:rsid w:val="001C760F"/>
    <w:rsid w:val="001C7AFF"/>
    <w:rsid w:val="001C7D37"/>
    <w:rsid w:val="001D02A9"/>
    <w:rsid w:val="001D0854"/>
    <w:rsid w:val="001D0E76"/>
    <w:rsid w:val="001D106B"/>
    <w:rsid w:val="001D1083"/>
    <w:rsid w:val="001D136A"/>
    <w:rsid w:val="001D13CE"/>
    <w:rsid w:val="001D14E9"/>
    <w:rsid w:val="001D15CF"/>
    <w:rsid w:val="001D172F"/>
    <w:rsid w:val="001D1E5E"/>
    <w:rsid w:val="001D2084"/>
    <w:rsid w:val="001D212E"/>
    <w:rsid w:val="001D24C7"/>
    <w:rsid w:val="001D27E0"/>
    <w:rsid w:val="001D2911"/>
    <w:rsid w:val="001D2E65"/>
    <w:rsid w:val="001D2FFB"/>
    <w:rsid w:val="001D301F"/>
    <w:rsid w:val="001D3A20"/>
    <w:rsid w:val="001D48F6"/>
    <w:rsid w:val="001D4C1F"/>
    <w:rsid w:val="001D4D6C"/>
    <w:rsid w:val="001D5065"/>
    <w:rsid w:val="001D50F2"/>
    <w:rsid w:val="001D52E4"/>
    <w:rsid w:val="001D5CCB"/>
    <w:rsid w:val="001D5E20"/>
    <w:rsid w:val="001D5E3A"/>
    <w:rsid w:val="001D62F0"/>
    <w:rsid w:val="001D6317"/>
    <w:rsid w:val="001D6400"/>
    <w:rsid w:val="001D662C"/>
    <w:rsid w:val="001D6695"/>
    <w:rsid w:val="001D675D"/>
    <w:rsid w:val="001D69C7"/>
    <w:rsid w:val="001D6CD0"/>
    <w:rsid w:val="001D6CDF"/>
    <w:rsid w:val="001D6E2D"/>
    <w:rsid w:val="001D7952"/>
    <w:rsid w:val="001D796B"/>
    <w:rsid w:val="001D7DE4"/>
    <w:rsid w:val="001D7ECB"/>
    <w:rsid w:val="001D7F3A"/>
    <w:rsid w:val="001E0053"/>
    <w:rsid w:val="001E068F"/>
    <w:rsid w:val="001E08DE"/>
    <w:rsid w:val="001E101A"/>
    <w:rsid w:val="001E1243"/>
    <w:rsid w:val="001E1498"/>
    <w:rsid w:val="001E19E7"/>
    <w:rsid w:val="001E1B0D"/>
    <w:rsid w:val="001E1D11"/>
    <w:rsid w:val="001E21A9"/>
    <w:rsid w:val="001E21CC"/>
    <w:rsid w:val="001E28F8"/>
    <w:rsid w:val="001E29BF"/>
    <w:rsid w:val="001E2FEA"/>
    <w:rsid w:val="001E30DD"/>
    <w:rsid w:val="001E33A0"/>
    <w:rsid w:val="001E3510"/>
    <w:rsid w:val="001E36F3"/>
    <w:rsid w:val="001E3934"/>
    <w:rsid w:val="001E3A1D"/>
    <w:rsid w:val="001E3FA9"/>
    <w:rsid w:val="001E3FAE"/>
    <w:rsid w:val="001E4174"/>
    <w:rsid w:val="001E423E"/>
    <w:rsid w:val="001E43DB"/>
    <w:rsid w:val="001E44E7"/>
    <w:rsid w:val="001E45FE"/>
    <w:rsid w:val="001E47E2"/>
    <w:rsid w:val="001E5BBA"/>
    <w:rsid w:val="001E610C"/>
    <w:rsid w:val="001E643E"/>
    <w:rsid w:val="001E69BC"/>
    <w:rsid w:val="001E6AE8"/>
    <w:rsid w:val="001E6AFF"/>
    <w:rsid w:val="001E6B2A"/>
    <w:rsid w:val="001E6CA9"/>
    <w:rsid w:val="001E72E9"/>
    <w:rsid w:val="001E765B"/>
    <w:rsid w:val="001E7880"/>
    <w:rsid w:val="001E7954"/>
    <w:rsid w:val="001E7B27"/>
    <w:rsid w:val="001E7C4D"/>
    <w:rsid w:val="001F06D9"/>
    <w:rsid w:val="001F074F"/>
    <w:rsid w:val="001F0C1E"/>
    <w:rsid w:val="001F0D5A"/>
    <w:rsid w:val="001F1116"/>
    <w:rsid w:val="001F1145"/>
    <w:rsid w:val="001F119A"/>
    <w:rsid w:val="001F1822"/>
    <w:rsid w:val="001F19E9"/>
    <w:rsid w:val="001F1B1E"/>
    <w:rsid w:val="001F214C"/>
    <w:rsid w:val="001F23E2"/>
    <w:rsid w:val="001F31A8"/>
    <w:rsid w:val="001F32CC"/>
    <w:rsid w:val="001F3335"/>
    <w:rsid w:val="001F336E"/>
    <w:rsid w:val="001F386D"/>
    <w:rsid w:val="001F3C82"/>
    <w:rsid w:val="001F4089"/>
    <w:rsid w:val="001F4094"/>
    <w:rsid w:val="001F417E"/>
    <w:rsid w:val="001F41BB"/>
    <w:rsid w:val="001F45D3"/>
    <w:rsid w:val="001F474F"/>
    <w:rsid w:val="001F4932"/>
    <w:rsid w:val="001F4EBF"/>
    <w:rsid w:val="001F51FC"/>
    <w:rsid w:val="001F570B"/>
    <w:rsid w:val="001F57CC"/>
    <w:rsid w:val="001F5944"/>
    <w:rsid w:val="001F5C83"/>
    <w:rsid w:val="001F5CC9"/>
    <w:rsid w:val="001F5F7B"/>
    <w:rsid w:val="001F5FCB"/>
    <w:rsid w:val="001F6487"/>
    <w:rsid w:val="001F6866"/>
    <w:rsid w:val="001F6B22"/>
    <w:rsid w:val="001F6DA1"/>
    <w:rsid w:val="001F6DB7"/>
    <w:rsid w:val="001F6DE1"/>
    <w:rsid w:val="001F6EDE"/>
    <w:rsid w:val="001F771D"/>
    <w:rsid w:val="001F7725"/>
    <w:rsid w:val="001F7C2F"/>
    <w:rsid w:val="001F7CAD"/>
    <w:rsid w:val="002000DD"/>
    <w:rsid w:val="0020034A"/>
    <w:rsid w:val="002005D1"/>
    <w:rsid w:val="002006DD"/>
    <w:rsid w:val="00200BA2"/>
    <w:rsid w:val="00200BA5"/>
    <w:rsid w:val="00200F75"/>
    <w:rsid w:val="0020166F"/>
    <w:rsid w:val="0020193F"/>
    <w:rsid w:val="00201AA2"/>
    <w:rsid w:val="00201BD2"/>
    <w:rsid w:val="00201DD3"/>
    <w:rsid w:val="00202357"/>
    <w:rsid w:val="002028E2"/>
    <w:rsid w:val="00202A78"/>
    <w:rsid w:val="00203400"/>
    <w:rsid w:val="002037B7"/>
    <w:rsid w:val="0020385C"/>
    <w:rsid w:val="00203AFA"/>
    <w:rsid w:val="00203B10"/>
    <w:rsid w:val="00203CE0"/>
    <w:rsid w:val="00203F5B"/>
    <w:rsid w:val="00203FEF"/>
    <w:rsid w:val="002040C9"/>
    <w:rsid w:val="002045C3"/>
    <w:rsid w:val="002049E1"/>
    <w:rsid w:val="00204BC4"/>
    <w:rsid w:val="00204CFF"/>
    <w:rsid w:val="00204D07"/>
    <w:rsid w:val="00204F9D"/>
    <w:rsid w:val="00205023"/>
    <w:rsid w:val="00205550"/>
    <w:rsid w:val="00205986"/>
    <w:rsid w:val="00205B5D"/>
    <w:rsid w:val="00205D01"/>
    <w:rsid w:val="00206072"/>
    <w:rsid w:val="00206879"/>
    <w:rsid w:val="00206AEA"/>
    <w:rsid w:val="00206B2D"/>
    <w:rsid w:val="002070BC"/>
    <w:rsid w:val="002071A2"/>
    <w:rsid w:val="002072B2"/>
    <w:rsid w:val="00207453"/>
    <w:rsid w:val="00207974"/>
    <w:rsid w:val="002079C8"/>
    <w:rsid w:val="002105D5"/>
    <w:rsid w:val="002106CD"/>
    <w:rsid w:val="002108C1"/>
    <w:rsid w:val="002108E1"/>
    <w:rsid w:val="002109D4"/>
    <w:rsid w:val="00210CB8"/>
    <w:rsid w:val="00210DFD"/>
    <w:rsid w:val="00211702"/>
    <w:rsid w:val="00211B0B"/>
    <w:rsid w:val="00211CBE"/>
    <w:rsid w:val="00211D0A"/>
    <w:rsid w:val="00211D24"/>
    <w:rsid w:val="00212209"/>
    <w:rsid w:val="00212216"/>
    <w:rsid w:val="00212562"/>
    <w:rsid w:val="002125C2"/>
    <w:rsid w:val="002126F2"/>
    <w:rsid w:val="002128AA"/>
    <w:rsid w:val="002128BE"/>
    <w:rsid w:val="00212AE8"/>
    <w:rsid w:val="00213219"/>
    <w:rsid w:val="002132B1"/>
    <w:rsid w:val="00213667"/>
    <w:rsid w:val="00213A7F"/>
    <w:rsid w:val="00213CF1"/>
    <w:rsid w:val="00214D49"/>
    <w:rsid w:val="002151D6"/>
    <w:rsid w:val="00215617"/>
    <w:rsid w:val="0021571B"/>
    <w:rsid w:val="00215B49"/>
    <w:rsid w:val="00216080"/>
    <w:rsid w:val="002164C3"/>
    <w:rsid w:val="00216690"/>
    <w:rsid w:val="0021675B"/>
    <w:rsid w:val="00216995"/>
    <w:rsid w:val="0021753F"/>
    <w:rsid w:val="00217BA5"/>
    <w:rsid w:val="00217D6E"/>
    <w:rsid w:val="00220120"/>
    <w:rsid w:val="002204E9"/>
    <w:rsid w:val="00220608"/>
    <w:rsid w:val="00220888"/>
    <w:rsid w:val="00220CDC"/>
    <w:rsid w:val="00220F3D"/>
    <w:rsid w:val="0022102F"/>
    <w:rsid w:val="0022112D"/>
    <w:rsid w:val="002214FC"/>
    <w:rsid w:val="002219C2"/>
    <w:rsid w:val="00221B68"/>
    <w:rsid w:val="00221E3F"/>
    <w:rsid w:val="00222398"/>
    <w:rsid w:val="0022240D"/>
    <w:rsid w:val="002224CD"/>
    <w:rsid w:val="002224D9"/>
    <w:rsid w:val="00222B08"/>
    <w:rsid w:val="00222B5C"/>
    <w:rsid w:val="002231C9"/>
    <w:rsid w:val="00223430"/>
    <w:rsid w:val="002234A2"/>
    <w:rsid w:val="00223B0D"/>
    <w:rsid w:val="00223CC1"/>
    <w:rsid w:val="00223D21"/>
    <w:rsid w:val="00224F69"/>
    <w:rsid w:val="00225038"/>
    <w:rsid w:val="002252C8"/>
    <w:rsid w:val="0022530A"/>
    <w:rsid w:val="002255A7"/>
    <w:rsid w:val="00225829"/>
    <w:rsid w:val="00225AD9"/>
    <w:rsid w:val="00225BCC"/>
    <w:rsid w:val="00225CFB"/>
    <w:rsid w:val="00225E72"/>
    <w:rsid w:val="00225E73"/>
    <w:rsid w:val="0022638A"/>
    <w:rsid w:val="002263E7"/>
    <w:rsid w:val="002265BA"/>
    <w:rsid w:val="002266D7"/>
    <w:rsid w:val="00226B61"/>
    <w:rsid w:val="00226B95"/>
    <w:rsid w:val="00226E4B"/>
    <w:rsid w:val="00227404"/>
    <w:rsid w:val="00227B80"/>
    <w:rsid w:val="00227C96"/>
    <w:rsid w:val="002302F7"/>
    <w:rsid w:val="002305A4"/>
    <w:rsid w:val="00230869"/>
    <w:rsid w:val="00230973"/>
    <w:rsid w:val="00230C50"/>
    <w:rsid w:val="00230EB0"/>
    <w:rsid w:val="00230EE1"/>
    <w:rsid w:val="002311AD"/>
    <w:rsid w:val="0023150E"/>
    <w:rsid w:val="00231A16"/>
    <w:rsid w:val="00231B00"/>
    <w:rsid w:val="00231D56"/>
    <w:rsid w:val="002325DF"/>
    <w:rsid w:val="00232731"/>
    <w:rsid w:val="0023276A"/>
    <w:rsid w:val="00232BA5"/>
    <w:rsid w:val="00232D30"/>
    <w:rsid w:val="00232E30"/>
    <w:rsid w:val="00233110"/>
    <w:rsid w:val="002331D8"/>
    <w:rsid w:val="0023323F"/>
    <w:rsid w:val="00233CBC"/>
    <w:rsid w:val="00233E4A"/>
    <w:rsid w:val="00234768"/>
    <w:rsid w:val="00234B1A"/>
    <w:rsid w:val="00234BF1"/>
    <w:rsid w:val="00234D28"/>
    <w:rsid w:val="00234FBC"/>
    <w:rsid w:val="0023530D"/>
    <w:rsid w:val="002354EE"/>
    <w:rsid w:val="002357DF"/>
    <w:rsid w:val="002358F0"/>
    <w:rsid w:val="00235BB8"/>
    <w:rsid w:val="00235BF1"/>
    <w:rsid w:val="00236418"/>
    <w:rsid w:val="00236482"/>
    <w:rsid w:val="0023676C"/>
    <w:rsid w:val="00236807"/>
    <w:rsid w:val="0023687E"/>
    <w:rsid w:val="00236996"/>
    <w:rsid w:val="00236B64"/>
    <w:rsid w:val="00236BF5"/>
    <w:rsid w:val="00237009"/>
    <w:rsid w:val="00237050"/>
    <w:rsid w:val="00237745"/>
    <w:rsid w:val="00237754"/>
    <w:rsid w:val="002377BC"/>
    <w:rsid w:val="002378C1"/>
    <w:rsid w:val="002379E4"/>
    <w:rsid w:val="00237EC2"/>
    <w:rsid w:val="00237F6A"/>
    <w:rsid w:val="00237FF4"/>
    <w:rsid w:val="00240083"/>
    <w:rsid w:val="002400E8"/>
    <w:rsid w:val="002401B5"/>
    <w:rsid w:val="002402B3"/>
    <w:rsid w:val="0024039F"/>
    <w:rsid w:val="0024066A"/>
    <w:rsid w:val="00240714"/>
    <w:rsid w:val="0024078F"/>
    <w:rsid w:val="00241294"/>
    <w:rsid w:val="0024168D"/>
    <w:rsid w:val="002418B5"/>
    <w:rsid w:val="00241934"/>
    <w:rsid w:val="00241CF4"/>
    <w:rsid w:val="00241EAC"/>
    <w:rsid w:val="0024219B"/>
    <w:rsid w:val="002421AE"/>
    <w:rsid w:val="002421F5"/>
    <w:rsid w:val="0024248D"/>
    <w:rsid w:val="0024252F"/>
    <w:rsid w:val="0024279B"/>
    <w:rsid w:val="00242876"/>
    <w:rsid w:val="00242B13"/>
    <w:rsid w:val="00243298"/>
    <w:rsid w:val="00243410"/>
    <w:rsid w:val="00243C86"/>
    <w:rsid w:val="0024417C"/>
    <w:rsid w:val="00244519"/>
    <w:rsid w:val="00244829"/>
    <w:rsid w:val="002448E4"/>
    <w:rsid w:val="00244C2E"/>
    <w:rsid w:val="002454DF"/>
    <w:rsid w:val="002455FC"/>
    <w:rsid w:val="0024578B"/>
    <w:rsid w:val="00245A8A"/>
    <w:rsid w:val="00245BC9"/>
    <w:rsid w:val="00246229"/>
    <w:rsid w:val="0024643D"/>
    <w:rsid w:val="002469ED"/>
    <w:rsid w:val="00246A0E"/>
    <w:rsid w:val="0024712F"/>
    <w:rsid w:val="0024720B"/>
    <w:rsid w:val="00247552"/>
    <w:rsid w:val="00247572"/>
    <w:rsid w:val="00247796"/>
    <w:rsid w:val="0024792C"/>
    <w:rsid w:val="00247EC6"/>
    <w:rsid w:val="0025018B"/>
    <w:rsid w:val="002506A5"/>
    <w:rsid w:val="002507A3"/>
    <w:rsid w:val="002507EB"/>
    <w:rsid w:val="00250932"/>
    <w:rsid w:val="0025096D"/>
    <w:rsid w:val="00250E5A"/>
    <w:rsid w:val="00251091"/>
    <w:rsid w:val="002512AC"/>
    <w:rsid w:val="002518C2"/>
    <w:rsid w:val="00251D33"/>
    <w:rsid w:val="00251F67"/>
    <w:rsid w:val="00251FDB"/>
    <w:rsid w:val="00252188"/>
    <w:rsid w:val="00252A0D"/>
    <w:rsid w:val="00252A79"/>
    <w:rsid w:val="00252B4D"/>
    <w:rsid w:val="00252B91"/>
    <w:rsid w:val="00252F62"/>
    <w:rsid w:val="00253A4D"/>
    <w:rsid w:val="00253ED3"/>
    <w:rsid w:val="00254AD7"/>
    <w:rsid w:val="002552AE"/>
    <w:rsid w:val="002555FD"/>
    <w:rsid w:val="00255850"/>
    <w:rsid w:val="0025588F"/>
    <w:rsid w:val="00255A65"/>
    <w:rsid w:val="00255FDB"/>
    <w:rsid w:val="00256505"/>
    <w:rsid w:val="0025676A"/>
    <w:rsid w:val="0025685D"/>
    <w:rsid w:val="002569A5"/>
    <w:rsid w:val="00256B23"/>
    <w:rsid w:val="00256E5C"/>
    <w:rsid w:val="00257364"/>
    <w:rsid w:val="002574A9"/>
    <w:rsid w:val="002574D6"/>
    <w:rsid w:val="00257B69"/>
    <w:rsid w:val="00257CA5"/>
    <w:rsid w:val="00257CC0"/>
    <w:rsid w:val="0026000B"/>
    <w:rsid w:val="002608E7"/>
    <w:rsid w:val="00260AA0"/>
    <w:rsid w:val="00260E1F"/>
    <w:rsid w:val="0026147C"/>
    <w:rsid w:val="00261696"/>
    <w:rsid w:val="00261A36"/>
    <w:rsid w:val="00261A3B"/>
    <w:rsid w:val="00261B76"/>
    <w:rsid w:val="00262343"/>
    <w:rsid w:val="00262461"/>
    <w:rsid w:val="00262A2B"/>
    <w:rsid w:val="00262A53"/>
    <w:rsid w:val="00262A97"/>
    <w:rsid w:val="00262D3C"/>
    <w:rsid w:val="002631A0"/>
    <w:rsid w:val="002632CD"/>
    <w:rsid w:val="00263FB4"/>
    <w:rsid w:val="00264095"/>
    <w:rsid w:val="00264157"/>
    <w:rsid w:val="0026422B"/>
    <w:rsid w:val="002647A0"/>
    <w:rsid w:val="002648A1"/>
    <w:rsid w:val="002648D0"/>
    <w:rsid w:val="00264B2D"/>
    <w:rsid w:val="00264BD9"/>
    <w:rsid w:val="002654B7"/>
    <w:rsid w:val="00265981"/>
    <w:rsid w:val="002659B7"/>
    <w:rsid w:val="00265B03"/>
    <w:rsid w:val="00265C34"/>
    <w:rsid w:val="00265D73"/>
    <w:rsid w:val="00265DA0"/>
    <w:rsid w:val="00265F7A"/>
    <w:rsid w:val="0026612D"/>
    <w:rsid w:val="0026708A"/>
    <w:rsid w:val="002671EC"/>
    <w:rsid w:val="002675C1"/>
    <w:rsid w:val="00267987"/>
    <w:rsid w:val="00267FEB"/>
    <w:rsid w:val="00270413"/>
    <w:rsid w:val="00270852"/>
    <w:rsid w:val="00270905"/>
    <w:rsid w:val="00270EA5"/>
    <w:rsid w:val="00271130"/>
    <w:rsid w:val="00271A39"/>
    <w:rsid w:val="00271B8D"/>
    <w:rsid w:val="00271DE1"/>
    <w:rsid w:val="00271E5A"/>
    <w:rsid w:val="00272544"/>
    <w:rsid w:val="00272769"/>
    <w:rsid w:val="00272950"/>
    <w:rsid w:val="0027299B"/>
    <w:rsid w:val="002729C5"/>
    <w:rsid w:val="00272B00"/>
    <w:rsid w:val="0027360F"/>
    <w:rsid w:val="00273684"/>
    <w:rsid w:val="00273A04"/>
    <w:rsid w:val="00273D60"/>
    <w:rsid w:val="00273E19"/>
    <w:rsid w:val="00273E39"/>
    <w:rsid w:val="00273E4F"/>
    <w:rsid w:val="00274162"/>
    <w:rsid w:val="0027447F"/>
    <w:rsid w:val="0027499B"/>
    <w:rsid w:val="00274AFD"/>
    <w:rsid w:val="00274B73"/>
    <w:rsid w:val="00274EC3"/>
    <w:rsid w:val="00274FF6"/>
    <w:rsid w:val="0027505B"/>
    <w:rsid w:val="00275282"/>
    <w:rsid w:val="002760DF"/>
    <w:rsid w:val="00276191"/>
    <w:rsid w:val="0027624B"/>
    <w:rsid w:val="0027704D"/>
    <w:rsid w:val="00277262"/>
    <w:rsid w:val="0027727C"/>
    <w:rsid w:val="002775D9"/>
    <w:rsid w:val="00277BBF"/>
    <w:rsid w:val="00277EB4"/>
    <w:rsid w:val="00280029"/>
    <w:rsid w:val="002802D2"/>
    <w:rsid w:val="00280598"/>
    <w:rsid w:val="002806B9"/>
    <w:rsid w:val="002809F8"/>
    <w:rsid w:val="00280BCF"/>
    <w:rsid w:val="00280C7C"/>
    <w:rsid w:val="00281A16"/>
    <w:rsid w:val="00281C7F"/>
    <w:rsid w:val="00281EB7"/>
    <w:rsid w:val="00281EF1"/>
    <w:rsid w:val="0028202B"/>
    <w:rsid w:val="002827FB"/>
    <w:rsid w:val="002829C6"/>
    <w:rsid w:val="00282BCA"/>
    <w:rsid w:val="0028322D"/>
    <w:rsid w:val="00283278"/>
    <w:rsid w:val="0028346E"/>
    <w:rsid w:val="002834C0"/>
    <w:rsid w:val="002836DF"/>
    <w:rsid w:val="00283C08"/>
    <w:rsid w:val="00283FDB"/>
    <w:rsid w:val="002844D1"/>
    <w:rsid w:val="00284601"/>
    <w:rsid w:val="00284A03"/>
    <w:rsid w:val="0028551B"/>
    <w:rsid w:val="00285731"/>
    <w:rsid w:val="002857A0"/>
    <w:rsid w:val="00285A38"/>
    <w:rsid w:val="00286106"/>
    <w:rsid w:val="0028627D"/>
    <w:rsid w:val="00286795"/>
    <w:rsid w:val="002867AC"/>
    <w:rsid w:val="002869EF"/>
    <w:rsid w:val="00286A1A"/>
    <w:rsid w:val="00286E8A"/>
    <w:rsid w:val="00286EB4"/>
    <w:rsid w:val="00286FA4"/>
    <w:rsid w:val="00287371"/>
    <w:rsid w:val="0028797F"/>
    <w:rsid w:val="00287B51"/>
    <w:rsid w:val="002906B6"/>
    <w:rsid w:val="00290812"/>
    <w:rsid w:val="00290AB6"/>
    <w:rsid w:val="00290D57"/>
    <w:rsid w:val="00290F0A"/>
    <w:rsid w:val="00290FE5"/>
    <w:rsid w:val="002915E8"/>
    <w:rsid w:val="00291726"/>
    <w:rsid w:val="00291877"/>
    <w:rsid w:val="002925DD"/>
    <w:rsid w:val="00292668"/>
    <w:rsid w:val="0029290E"/>
    <w:rsid w:val="0029297C"/>
    <w:rsid w:val="002929C8"/>
    <w:rsid w:val="00292A22"/>
    <w:rsid w:val="0029309B"/>
    <w:rsid w:val="002930D1"/>
    <w:rsid w:val="00293BC7"/>
    <w:rsid w:val="00293D51"/>
    <w:rsid w:val="00293FDD"/>
    <w:rsid w:val="0029457F"/>
    <w:rsid w:val="00294647"/>
    <w:rsid w:val="002948A1"/>
    <w:rsid w:val="00294965"/>
    <w:rsid w:val="00294BE6"/>
    <w:rsid w:val="00294D6B"/>
    <w:rsid w:val="0029573A"/>
    <w:rsid w:val="002957B4"/>
    <w:rsid w:val="00295943"/>
    <w:rsid w:val="002962E9"/>
    <w:rsid w:val="00296549"/>
    <w:rsid w:val="00296C07"/>
    <w:rsid w:val="00296E19"/>
    <w:rsid w:val="00297244"/>
    <w:rsid w:val="002973EE"/>
    <w:rsid w:val="002976EF"/>
    <w:rsid w:val="0029779C"/>
    <w:rsid w:val="00297B4E"/>
    <w:rsid w:val="00297CDE"/>
    <w:rsid w:val="00297ED9"/>
    <w:rsid w:val="00297FB9"/>
    <w:rsid w:val="002A02F6"/>
    <w:rsid w:val="002A0764"/>
    <w:rsid w:val="002A0A00"/>
    <w:rsid w:val="002A0B3A"/>
    <w:rsid w:val="002A0ECF"/>
    <w:rsid w:val="002A0F32"/>
    <w:rsid w:val="002A101D"/>
    <w:rsid w:val="002A11F8"/>
    <w:rsid w:val="002A13ED"/>
    <w:rsid w:val="002A142F"/>
    <w:rsid w:val="002A166C"/>
    <w:rsid w:val="002A16DC"/>
    <w:rsid w:val="002A192D"/>
    <w:rsid w:val="002A1C86"/>
    <w:rsid w:val="002A1CAC"/>
    <w:rsid w:val="002A250A"/>
    <w:rsid w:val="002A266A"/>
    <w:rsid w:val="002A2B89"/>
    <w:rsid w:val="002A2E37"/>
    <w:rsid w:val="002A2FA7"/>
    <w:rsid w:val="002A3355"/>
    <w:rsid w:val="002A357F"/>
    <w:rsid w:val="002A38F8"/>
    <w:rsid w:val="002A4243"/>
    <w:rsid w:val="002A4453"/>
    <w:rsid w:val="002A4A52"/>
    <w:rsid w:val="002A4FA8"/>
    <w:rsid w:val="002A51EA"/>
    <w:rsid w:val="002A5B7D"/>
    <w:rsid w:val="002A5CB2"/>
    <w:rsid w:val="002A6009"/>
    <w:rsid w:val="002A601B"/>
    <w:rsid w:val="002A680A"/>
    <w:rsid w:val="002A683A"/>
    <w:rsid w:val="002A6F40"/>
    <w:rsid w:val="002A7055"/>
    <w:rsid w:val="002A71B8"/>
    <w:rsid w:val="002A72D5"/>
    <w:rsid w:val="002A79DC"/>
    <w:rsid w:val="002A7B21"/>
    <w:rsid w:val="002A7E10"/>
    <w:rsid w:val="002B015F"/>
    <w:rsid w:val="002B09D9"/>
    <w:rsid w:val="002B0A34"/>
    <w:rsid w:val="002B0BD6"/>
    <w:rsid w:val="002B0C94"/>
    <w:rsid w:val="002B0D3B"/>
    <w:rsid w:val="002B16CE"/>
    <w:rsid w:val="002B1916"/>
    <w:rsid w:val="002B1A15"/>
    <w:rsid w:val="002B1AD5"/>
    <w:rsid w:val="002B1AFB"/>
    <w:rsid w:val="002B1F93"/>
    <w:rsid w:val="002B206B"/>
    <w:rsid w:val="002B21E7"/>
    <w:rsid w:val="002B2278"/>
    <w:rsid w:val="002B2336"/>
    <w:rsid w:val="002B24BC"/>
    <w:rsid w:val="002B2630"/>
    <w:rsid w:val="002B2DFD"/>
    <w:rsid w:val="002B2F18"/>
    <w:rsid w:val="002B2F2C"/>
    <w:rsid w:val="002B2F31"/>
    <w:rsid w:val="002B3371"/>
    <w:rsid w:val="002B3807"/>
    <w:rsid w:val="002B384A"/>
    <w:rsid w:val="002B38CB"/>
    <w:rsid w:val="002B3974"/>
    <w:rsid w:val="002B39B6"/>
    <w:rsid w:val="002B4400"/>
    <w:rsid w:val="002B44DC"/>
    <w:rsid w:val="002B463D"/>
    <w:rsid w:val="002B4863"/>
    <w:rsid w:val="002B4BAF"/>
    <w:rsid w:val="002B52AD"/>
    <w:rsid w:val="002B52B5"/>
    <w:rsid w:val="002B531F"/>
    <w:rsid w:val="002B5938"/>
    <w:rsid w:val="002B5B3A"/>
    <w:rsid w:val="002B6051"/>
    <w:rsid w:val="002B6073"/>
    <w:rsid w:val="002B6319"/>
    <w:rsid w:val="002B68F1"/>
    <w:rsid w:val="002B6FD5"/>
    <w:rsid w:val="002B7056"/>
    <w:rsid w:val="002B7206"/>
    <w:rsid w:val="002B76F2"/>
    <w:rsid w:val="002B7AC4"/>
    <w:rsid w:val="002C0074"/>
    <w:rsid w:val="002C00DB"/>
    <w:rsid w:val="002C0716"/>
    <w:rsid w:val="002C0AFA"/>
    <w:rsid w:val="002C0C98"/>
    <w:rsid w:val="002C1AD8"/>
    <w:rsid w:val="002C1BEC"/>
    <w:rsid w:val="002C1D7E"/>
    <w:rsid w:val="002C1E07"/>
    <w:rsid w:val="002C1E53"/>
    <w:rsid w:val="002C283B"/>
    <w:rsid w:val="002C2DDE"/>
    <w:rsid w:val="002C2F5C"/>
    <w:rsid w:val="002C3C50"/>
    <w:rsid w:val="002C3D1C"/>
    <w:rsid w:val="002C3F55"/>
    <w:rsid w:val="002C43BC"/>
    <w:rsid w:val="002C4C66"/>
    <w:rsid w:val="002C4DD6"/>
    <w:rsid w:val="002C5130"/>
    <w:rsid w:val="002C5874"/>
    <w:rsid w:val="002C5936"/>
    <w:rsid w:val="002C5C25"/>
    <w:rsid w:val="002C5D0A"/>
    <w:rsid w:val="002C5FDA"/>
    <w:rsid w:val="002C6058"/>
    <w:rsid w:val="002C62B8"/>
    <w:rsid w:val="002C69A2"/>
    <w:rsid w:val="002C6F17"/>
    <w:rsid w:val="002C78C3"/>
    <w:rsid w:val="002C7DE5"/>
    <w:rsid w:val="002D0CAB"/>
    <w:rsid w:val="002D0D7C"/>
    <w:rsid w:val="002D0FA4"/>
    <w:rsid w:val="002D1D12"/>
    <w:rsid w:val="002D1E58"/>
    <w:rsid w:val="002D20C3"/>
    <w:rsid w:val="002D2252"/>
    <w:rsid w:val="002D228D"/>
    <w:rsid w:val="002D25CA"/>
    <w:rsid w:val="002D2E36"/>
    <w:rsid w:val="002D2E3B"/>
    <w:rsid w:val="002D2EC8"/>
    <w:rsid w:val="002D2F10"/>
    <w:rsid w:val="002D308C"/>
    <w:rsid w:val="002D3106"/>
    <w:rsid w:val="002D3463"/>
    <w:rsid w:val="002D3626"/>
    <w:rsid w:val="002D38A7"/>
    <w:rsid w:val="002D3F78"/>
    <w:rsid w:val="002D3F95"/>
    <w:rsid w:val="002D423A"/>
    <w:rsid w:val="002D4270"/>
    <w:rsid w:val="002D429D"/>
    <w:rsid w:val="002D42B9"/>
    <w:rsid w:val="002D4738"/>
    <w:rsid w:val="002D47B3"/>
    <w:rsid w:val="002D4B6F"/>
    <w:rsid w:val="002D4D7D"/>
    <w:rsid w:val="002D4DF8"/>
    <w:rsid w:val="002D4E73"/>
    <w:rsid w:val="002D6362"/>
    <w:rsid w:val="002D7041"/>
    <w:rsid w:val="002D782E"/>
    <w:rsid w:val="002D788E"/>
    <w:rsid w:val="002D7B4B"/>
    <w:rsid w:val="002D7D24"/>
    <w:rsid w:val="002E0233"/>
    <w:rsid w:val="002E0415"/>
    <w:rsid w:val="002E0568"/>
    <w:rsid w:val="002E0673"/>
    <w:rsid w:val="002E0B5C"/>
    <w:rsid w:val="002E0CED"/>
    <w:rsid w:val="002E0DAA"/>
    <w:rsid w:val="002E0DEE"/>
    <w:rsid w:val="002E0FE9"/>
    <w:rsid w:val="002E1F32"/>
    <w:rsid w:val="002E234B"/>
    <w:rsid w:val="002E24E2"/>
    <w:rsid w:val="002E2665"/>
    <w:rsid w:val="002E2912"/>
    <w:rsid w:val="002E2F4F"/>
    <w:rsid w:val="002E2F9A"/>
    <w:rsid w:val="002E3114"/>
    <w:rsid w:val="002E349C"/>
    <w:rsid w:val="002E3646"/>
    <w:rsid w:val="002E3C81"/>
    <w:rsid w:val="002E40B3"/>
    <w:rsid w:val="002E45D5"/>
    <w:rsid w:val="002E46CF"/>
    <w:rsid w:val="002E4D1F"/>
    <w:rsid w:val="002E504E"/>
    <w:rsid w:val="002E546F"/>
    <w:rsid w:val="002E55D3"/>
    <w:rsid w:val="002E5DA8"/>
    <w:rsid w:val="002E61B8"/>
    <w:rsid w:val="002E6368"/>
    <w:rsid w:val="002E6377"/>
    <w:rsid w:val="002E661D"/>
    <w:rsid w:val="002E68B5"/>
    <w:rsid w:val="002E68CF"/>
    <w:rsid w:val="002E6B71"/>
    <w:rsid w:val="002E6C0E"/>
    <w:rsid w:val="002E75A2"/>
    <w:rsid w:val="002E77B1"/>
    <w:rsid w:val="002E791D"/>
    <w:rsid w:val="002E7A48"/>
    <w:rsid w:val="002F086D"/>
    <w:rsid w:val="002F0A48"/>
    <w:rsid w:val="002F0B34"/>
    <w:rsid w:val="002F0BEE"/>
    <w:rsid w:val="002F0EEF"/>
    <w:rsid w:val="002F1095"/>
    <w:rsid w:val="002F1300"/>
    <w:rsid w:val="002F14D5"/>
    <w:rsid w:val="002F1529"/>
    <w:rsid w:val="002F1A36"/>
    <w:rsid w:val="002F2042"/>
    <w:rsid w:val="002F2C33"/>
    <w:rsid w:val="002F2CA9"/>
    <w:rsid w:val="002F3783"/>
    <w:rsid w:val="002F3855"/>
    <w:rsid w:val="002F38A3"/>
    <w:rsid w:val="002F3A32"/>
    <w:rsid w:val="002F43F1"/>
    <w:rsid w:val="002F4473"/>
    <w:rsid w:val="002F45A1"/>
    <w:rsid w:val="002F45EE"/>
    <w:rsid w:val="002F4617"/>
    <w:rsid w:val="002F4D20"/>
    <w:rsid w:val="002F4E6D"/>
    <w:rsid w:val="002F5052"/>
    <w:rsid w:val="002F543A"/>
    <w:rsid w:val="002F559A"/>
    <w:rsid w:val="002F5AED"/>
    <w:rsid w:val="002F5B73"/>
    <w:rsid w:val="002F6146"/>
    <w:rsid w:val="002F6561"/>
    <w:rsid w:val="002F68FF"/>
    <w:rsid w:val="002F694D"/>
    <w:rsid w:val="002F69DD"/>
    <w:rsid w:val="002F6C4C"/>
    <w:rsid w:val="002F6D75"/>
    <w:rsid w:val="002F7036"/>
    <w:rsid w:val="002F71BC"/>
    <w:rsid w:val="002F722C"/>
    <w:rsid w:val="002F724F"/>
    <w:rsid w:val="002F72ED"/>
    <w:rsid w:val="002F7B99"/>
    <w:rsid w:val="003000B0"/>
    <w:rsid w:val="003005E7"/>
    <w:rsid w:val="0030069E"/>
    <w:rsid w:val="00300A49"/>
    <w:rsid w:val="00300E36"/>
    <w:rsid w:val="00301666"/>
    <w:rsid w:val="00301BBF"/>
    <w:rsid w:val="00301E78"/>
    <w:rsid w:val="00302326"/>
    <w:rsid w:val="003027DD"/>
    <w:rsid w:val="00303226"/>
    <w:rsid w:val="003037AD"/>
    <w:rsid w:val="00303821"/>
    <w:rsid w:val="00303D26"/>
    <w:rsid w:val="00304439"/>
    <w:rsid w:val="0030495A"/>
    <w:rsid w:val="003049A6"/>
    <w:rsid w:val="00304BE8"/>
    <w:rsid w:val="00304F85"/>
    <w:rsid w:val="00305892"/>
    <w:rsid w:val="00305FBD"/>
    <w:rsid w:val="00305FCA"/>
    <w:rsid w:val="00306113"/>
    <w:rsid w:val="00306430"/>
    <w:rsid w:val="003066FE"/>
    <w:rsid w:val="00306A96"/>
    <w:rsid w:val="00306B11"/>
    <w:rsid w:val="00306D40"/>
    <w:rsid w:val="0030793A"/>
    <w:rsid w:val="00307C83"/>
    <w:rsid w:val="003100FF"/>
    <w:rsid w:val="0031057A"/>
    <w:rsid w:val="00310774"/>
    <w:rsid w:val="00310F4E"/>
    <w:rsid w:val="0031148E"/>
    <w:rsid w:val="00311C4F"/>
    <w:rsid w:val="00311EF5"/>
    <w:rsid w:val="00311F49"/>
    <w:rsid w:val="0031231D"/>
    <w:rsid w:val="0031239C"/>
    <w:rsid w:val="00312504"/>
    <w:rsid w:val="00312DDE"/>
    <w:rsid w:val="00312E65"/>
    <w:rsid w:val="00312E81"/>
    <w:rsid w:val="003131E9"/>
    <w:rsid w:val="00313228"/>
    <w:rsid w:val="00313510"/>
    <w:rsid w:val="00313C6D"/>
    <w:rsid w:val="00314066"/>
    <w:rsid w:val="003144EE"/>
    <w:rsid w:val="00314641"/>
    <w:rsid w:val="00314669"/>
    <w:rsid w:val="0031480A"/>
    <w:rsid w:val="00314949"/>
    <w:rsid w:val="00314B3A"/>
    <w:rsid w:val="00314BFC"/>
    <w:rsid w:val="00314F40"/>
    <w:rsid w:val="0031505C"/>
    <w:rsid w:val="00315391"/>
    <w:rsid w:val="00315671"/>
    <w:rsid w:val="003158FD"/>
    <w:rsid w:val="00315A27"/>
    <w:rsid w:val="00315C60"/>
    <w:rsid w:val="00315DE8"/>
    <w:rsid w:val="003161EA"/>
    <w:rsid w:val="003165F7"/>
    <w:rsid w:val="00316848"/>
    <w:rsid w:val="003168F4"/>
    <w:rsid w:val="003169A4"/>
    <w:rsid w:val="00316C41"/>
    <w:rsid w:val="00316C7D"/>
    <w:rsid w:val="00316CA8"/>
    <w:rsid w:val="00317128"/>
    <w:rsid w:val="00317584"/>
    <w:rsid w:val="00317761"/>
    <w:rsid w:val="003200BF"/>
    <w:rsid w:val="0032086E"/>
    <w:rsid w:val="00320F9B"/>
    <w:rsid w:val="003212AB"/>
    <w:rsid w:val="003212D7"/>
    <w:rsid w:val="003212FC"/>
    <w:rsid w:val="003216C3"/>
    <w:rsid w:val="00321874"/>
    <w:rsid w:val="00321EFC"/>
    <w:rsid w:val="0032209B"/>
    <w:rsid w:val="003220B4"/>
    <w:rsid w:val="00322BD1"/>
    <w:rsid w:val="00322F16"/>
    <w:rsid w:val="00322FE9"/>
    <w:rsid w:val="00323BD2"/>
    <w:rsid w:val="00323D96"/>
    <w:rsid w:val="00323FE6"/>
    <w:rsid w:val="00324A4F"/>
    <w:rsid w:val="00324D07"/>
    <w:rsid w:val="00324D11"/>
    <w:rsid w:val="00324D9F"/>
    <w:rsid w:val="003251AA"/>
    <w:rsid w:val="003251B9"/>
    <w:rsid w:val="0032537F"/>
    <w:rsid w:val="00325405"/>
    <w:rsid w:val="00325AD6"/>
    <w:rsid w:val="00325BB8"/>
    <w:rsid w:val="00326CAB"/>
    <w:rsid w:val="00326F3A"/>
    <w:rsid w:val="00326F7F"/>
    <w:rsid w:val="003272B3"/>
    <w:rsid w:val="003301B2"/>
    <w:rsid w:val="0033055B"/>
    <w:rsid w:val="00330589"/>
    <w:rsid w:val="0033064D"/>
    <w:rsid w:val="003306CB"/>
    <w:rsid w:val="003308DB"/>
    <w:rsid w:val="00330B40"/>
    <w:rsid w:val="003310BB"/>
    <w:rsid w:val="003312EB"/>
    <w:rsid w:val="00332028"/>
    <w:rsid w:val="003321E1"/>
    <w:rsid w:val="003325B6"/>
    <w:rsid w:val="0033273B"/>
    <w:rsid w:val="00332A62"/>
    <w:rsid w:val="003330CB"/>
    <w:rsid w:val="003332C0"/>
    <w:rsid w:val="00333789"/>
    <w:rsid w:val="0033391D"/>
    <w:rsid w:val="00333C88"/>
    <w:rsid w:val="00333E23"/>
    <w:rsid w:val="00333E77"/>
    <w:rsid w:val="00333EAC"/>
    <w:rsid w:val="0033402A"/>
    <w:rsid w:val="00334393"/>
    <w:rsid w:val="00335036"/>
    <w:rsid w:val="00335342"/>
    <w:rsid w:val="00335445"/>
    <w:rsid w:val="00335AA6"/>
    <w:rsid w:val="00335BD5"/>
    <w:rsid w:val="003364B4"/>
    <w:rsid w:val="00336AF8"/>
    <w:rsid w:val="00336F31"/>
    <w:rsid w:val="0033748E"/>
    <w:rsid w:val="003374E7"/>
    <w:rsid w:val="003378A3"/>
    <w:rsid w:val="003378B5"/>
    <w:rsid w:val="00337CF4"/>
    <w:rsid w:val="00337E7F"/>
    <w:rsid w:val="003402DA"/>
    <w:rsid w:val="00340BBF"/>
    <w:rsid w:val="00340E0B"/>
    <w:rsid w:val="003415E8"/>
    <w:rsid w:val="003415E9"/>
    <w:rsid w:val="0034174C"/>
    <w:rsid w:val="0034180C"/>
    <w:rsid w:val="00341916"/>
    <w:rsid w:val="003420AE"/>
    <w:rsid w:val="0034243A"/>
    <w:rsid w:val="00342616"/>
    <w:rsid w:val="003426C4"/>
    <w:rsid w:val="00342B69"/>
    <w:rsid w:val="00343A89"/>
    <w:rsid w:val="00343B2C"/>
    <w:rsid w:val="00343B40"/>
    <w:rsid w:val="00343C44"/>
    <w:rsid w:val="00343C57"/>
    <w:rsid w:val="00343CFD"/>
    <w:rsid w:val="00343D74"/>
    <w:rsid w:val="00343DE1"/>
    <w:rsid w:val="00344122"/>
    <w:rsid w:val="00344738"/>
    <w:rsid w:val="00344E1F"/>
    <w:rsid w:val="00344F27"/>
    <w:rsid w:val="00344FF0"/>
    <w:rsid w:val="00345282"/>
    <w:rsid w:val="003453FF"/>
    <w:rsid w:val="0034542B"/>
    <w:rsid w:val="00345A90"/>
    <w:rsid w:val="00345AC7"/>
    <w:rsid w:val="00345ED7"/>
    <w:rsid w:val="00346018"/>
    <w:rsid w:val="00346091"/>
    <w:rsid w:val="003463EF"/>
    <w:rsid w:val="00346795"/>
    <w:rsid w:val="00346D32"/>
    <w:rsid w:val="00347111"/>
    <w:rsid w:val="0034763D"/>
    <w:rsid w:val="00347AD6"/>
    <w:rsid w:val="00347D30"/>
    <w:rsid w:val="0035082B"/>
    <w:rsid w:val="00350E3A"/>
    <w:rsid w:val="003512E6"/>
    <w:rsid w:val="00351439"/>
    <w:rsid w:val="0035155B"/>
    <w:rsid w:val="003515B1"/>
    <w:rsid w:val="00351724"/>
    <w:rsid w:val="003518D4"/>
    <w:rsid w:val="00351A6F"/>
    <w:rsid w:val="00351AB4"/>
    <w:rsid w:val="00351CAF"/>
    <w:rsid w:val="00351DBD"/>
    <w:rsid w:val="00352039"/>
    <w:rsid w:val="00352194"/>
    <w:rsid w:val="003521FC"/>
    <w:rsid w:val="003523F5"/>
    <w:rsid w:val="00353071"/>
    <w:rsid w:val="00353D1B"/>
    <w:rsid w:val="00353E1F"/>
    <w:rsid w:val="00354161"/>
    <w:rsid w:val="003542A4"/>
    <w:rsid w:val="00354435"/>
    <w:rsid w:val="00354632"/>
    <w:rsid w:val="00354666"/>
    <w:rsid w:val="003547FB"/>
    <w:rsid w:val="0035501F"/>
    <w:rsid w:val="00355233"/>
    <w:rsid w:val="00355758"/>
    <w:rsid w:val="00355926"/>
    <w:rsid w:val="003559E4"/>
    <w:rsid w:val="00355B51"/>
    <w:rsid w:val="00355BBA"/>
    <w:rsid w:val="00355DA8"/>
    <w:rsid w:val="00356BFA"/>
    <w:rsid w:val="00356C9C"/>
    <w:rsid w:val="00356D8B"/>
    <w:rsid w:val="00356F42"/>
    <w:rsid w:val="003576BC"/>
    <w:rsid w:val="00357B8A"/>
    <w:rsid w:val="00357F0D"/>
    <w:rsid w:val="00360179"/>
    <w:rsid w:val="003603AF"/>
    <w:rsid w:val="0036052F"/>
    <w:rsid w:val="00360584"/>
    <w:rsid w:val="00360863"/>
    <w:rsid w:val="003611B2"/>
    <w:rsid w:val="00361623"/>
    <w:rsid w:val="003618A9"/>
    <w:rsid w:val="0036191F"/>
    <w:rsid w:val="00361DE3"/>
    <w:rsid w:val="00361E3E"/>
    <w:rsid w:val="00362416"/>
    <w:rsid w:val="00362BF2"/>
    <w:rsid w:val="00362E1F"/>
    <w:rsid w:val="00362E60"/>
    <w:rsid w:val="00363024"/>
    <w:rsid w:val="00363079"/>
    <w:rsid w:val="003633C7"/>
    <w:rsid w:val="00363BFD"/>
    <w:rsid w:val="00363CD0"/>
    <w:rsid w:val="00363F10"/>
    <w:rsid w:val="003640F2"/>
    <w:rsid w:val="0036410B"/>
    <w:rsid w:val="00364523"/>
    <w:rsid w:val="003647FB"/>
    <w:rsid w:val="00364D8B"/>
    <w:rsid w:val="00364F1E"/>
    <w:rsid w:val="00364F8D"/>
    <w:rsid w:val="0036525E"/>
    <w:rsid w:val="00365420"/>
    <w:rsid w:val="00365ACB"/>
    <w:rsid w:val="00365CDD"/>
    <w:rsid w:val="00365FF0"/>
    <w:rsid w:val="00366051"/>
    <w:rsid w:val="00366415"/>
    <w:rsid w:val="00366435"/>
    <w:rsid w:val="003667BC"/>
    <w:rsid w:val="00366845"/>
    <w:rsid w:val="00366DC1"/>
    <w:rsid w:val="00367678"/>
    <w:rsid w:val="00367C7C"/>
    <w:rsid w:val="00370A59"/>
    <w:rsid w:val="00370E8C"/>
    <w:rsid w:val="00371514"/>
    <w:rsid w:val="0037160D"/>
    <w:rsid w:val="00371813"/>
    <w:rsid w:val="00371A20"/>
    <w:rsid w:val="00371EAB"/>
    <w:rsid w:val="00371FD6"/>
    <w:rsid w:val="0037224D"/>
    <w:rsid w:val="00372990"/>
    <w:rsid w:val="00372A76"/>
    <w:rsid w:val="003730F9"/>
    <w:rsid w:val="0037328F"/>
    <w:rsid w:val="0037337D"/>
    <w:rsid w:val="00373F39"/>
    <w:rsid w:val="00373FAA"/>
    <w:rsid w:val="0037449A"/>
    <w:rsid w:val="00374C91"/>
    <w:rsid w:val="00374F6C"/>
    <w:rsid w:val="00375083"/>
    <w:rsid w:val="00375C1D"/>
    <w:rsid w:val="00375D17"/>
    <w:rsid w:val="0037659B"/>
    <w:rsid w:val="003768ED"/>
    <w:rsid w:val="00376F6E"/>
    <w:rsid w:val="00376F7A"/>
    <w:rsid w:val="00376F97"/>
    <w:rsid w:val="003771EF"/>
    <w:rsid w:val="003778F2"/>
    <w:rsid w:val="003779BC"/>
    <w:rsid w:val="00377B20"/>
    <w:rsid w:val="00377E92"/>
    <w:rsid w:val="00380361"/>
    <w:rsid w:val="0038044D"/>
    <w:rsid w:val="00380C02"/>
    <w:rsid w:val="00380F56"/>
    <w:rsid w:val="003815DB"/>
    <w:rsid w:val="00381B5D"/>
    <w:rsid w:val="00381FC4"/>
    <w:rsid w:val="00381FE1"/>
    <w:rsid w:val="00382169"/>
    <w:rsid w:val="0038251D"/>
    <w:rsid w:val="00382684"/>
    <w:rsid w:val="0038271F"/>
    <w:rsid w:val="0038276D"/>
    <w:rsid w:val="00382B87"/>
    <w:rsid w:val="003833BB"/>
    <w:rsid w:val="003833BD"/>
    <w:rsid w:val="00383404"/>
    <w:rsid w:val="00383580"/>
    <w:rsid w:val="003835C7"/>
    <w:rsid w:val="00383A4D"/>
    <w:rsid w:val="00383ACB"/>
    <w:rsid w:val="00383C5E"/>
    <w:rsid w:val="00384063"/>
    <w:rsid w:val="003841EC"/>
    <w:rsid w:val="003841F8"/>
    <w:rsid w:val="00384787"/>
    <w:rsid w:val="00384979"/>
    <w:rsid w:val="00385396"/>
    <w:rsid w:val="003855AA"/>
    <w:rsid w:val="0038573B"/>
    <w:rsid w:val="003857AA"/>
    <w:rsid w:val="00385BF5"/>
    <w:rsid w:val="00385D71"/>
    <w:rsid w:val="0038628C"/>
    <w:rsid w:val="003867D2"/>
    <w:rsid w:val="00386DA6"/>
    <w:rsid w:val="00386EAE"/>
    <w:rsid w:val="00386FC0"/>
    <w:rsid w:val="00387257"/>
    <w:rsid w:val="00387610"/>
    <w:rsid w:val="0038784C"/>
    <w:rsid w:val="00387905"/>
    <w:rsid w:val="00387AB8"/>
    <w:rsid w:val="00387CB3"/>
    <w:rsid w:val="00387CD1"/>
    <w:rsid w:val="003900A4"/>
    <w:rsid w:val="0039012C"/>
    <w:rsid w:val="0039022F"/>
    <w:rsid w:val="00390328"/>
    <w:rsid w:val="0039064F"/>
    <w:rsid w:val="003908A2"/>
    <w:rsid w:val="003908E6"/>
    <w:rsid w:val="00390ED3"/>
    <w:rsid w:val="00391143"/>
    <w:rsid w:val="003911E6"/>
    <w:rsid w:val="0039137C"/>
    <w:rsid w:val="00392451"/>
    <w:rsid w:val="0039294C"/>
    <w:rsid w:val="00392A66"/>
    <w:rsid w:val="00392C5B"/>
    <w:rsid w:val="00392FBC"/>
    <w:rsid w:val="0039369F"/>
    <w:rsid w:val="0039384E"/>
    <w:rsid w:val="00393B92"/>
    <w:rsid w:val="00393C84"/>
    <w:rsid w:val="00393CA0"/>
    <w:rsid w:val="00394582"/>
    <w:rsid w:val="00394589"/>
    <w:rsid w:val="00394643"/>
    <w:rsid w:val="0039495D"/>
    <w:rsid w:val="00394A61"/>
    <w:rsid w:val="00394F0C"/>
    <w:rsid w:val="003952A5"/>
    <w:rsid w:val="0039543F"/>
    <w:rsid w:val="00395525"/>
    <w:rsid w:val="003956DC"/>
    <w:rsid w:val="00395771"/>
    <w:rsid w:val="00395841"/>
    <w:rsid w:val="00395A08"/>
    <w:rsid w:val="00395E42"/>
    <w:rsid w:val="0039631F"/>
    <w:rsid w:val="00396533"/>
    <w:rsid w:val="00396606"/>
    <w:rsid w:val="00396D79"/>
    <w:rsid w:val="00396F34"/>
    <w:rsid w:val="0039707C"/>
    <w:rsid w:val="00397B14"/>
    <w:rsid w:val="00397BEC"/>
    <w:rsid w:val="003A0283"/>
    <w:rsid w:val="003A0404"/>
    <w:rsid w:val="003A0763"/>
    <w:rsid w:val="003A1414"/>
    <w:rsid w:val="003A1A12"/>
    <w:rsid w:val="003A1B9C"/>
    <w:rsid w:val="003A1DE1"/>
    <w:rsid w:val="003A2516"/>
    <w:rsid w:val="003A26C8"/>
    <w:rsid w:val="003A2B48"/>
    <w:rsid w:val="003A2D5E"/>
    <w:rsid w:val="003A2E81"/>
    <w:rsid w:val="003A3562"/>
    <w:rsid w:val="003A366F"/>
    <w:rsid w:val="003A3A80"/>
    <w:rsid w:val="003A3BB1"/>
    <w:rsid w:val="003A3CC8"/>
    <w:rsid w:val="003A3DC3"/>
    <w:rsid w:val="003A4001"/>
    <w:rsid w:val="003A405B"/>
    <w:rsid w:val="003A456D"/>
    <w:rsid w:val="003A472F"/>
    <w:rsid w:val="003A49B2"/>
    <w:rsid w:val="003A4AF9"/>
    <w:rsid w:val="003A4B40"/>
    <w:rsid w:val="003A53DA"/>
    <w:rsid w:val="003A5509"/>
    <w:rsid w:val="003A55E8"/>
    <w:rsid w:val="003A57C3"/>
    <w:rsid w:val="003A594D"/>
    <w:rsid w:val="003A5AC1"/>
    <w:rsid w:val="003A64A6"/>
    <w:rsid w:val="003A67F1"/>
    <w:rsid w:val="003A6BB3"/>
    <w:rsid w:val="003A6C06"/>
    <w:rsid w:val="003A6C85"/>
    <w:rsid w:val="003A6D04"/>
    <w:rsid w:val="003A6D2D"/>
    <w:rsid w:val="003A6EB4"/>
    <w:rsid w:val="003A6FB7"/>
    <w:rsid w:val="003A7216"/>
    <w:rsid w:val="003A751E"/>
    <w:rsid w:val="003A7649"/>
    <w:rsid w:val="003A76D8"/>
    <w:rsid w:val="003A7E0C"/>
    <w:rsid w:val="003B054C"/>
    <w:rsid w:val="003B056C"/>
    <w:rsid w:val="003B10AA"/>
    <w:rsid w:val="003B10FE"/>
    <w:rsid w:val="003B11BB"/>
    <w:rsid w:val="003B1291"/>
    <w:rsid w:val="003B17E7"/>
    <w:rsid w:val="003B2528"/>
    <w:rsid w:val="003B2949"/>
    <w:rsid w:val="003B2D36"/>
    <w:rsid w:val="003B3022"/>
    <w:rsid w:val="003B352A"/>
    <w:rsid w:val="003B3A14"/>
    <w:rsid w:val="003B3BD6"/>
    <w:rsid w:val="003B3EAF"/>
    <w:rsid w:val="003B48D5"/>
    <w:rsid w:val="003B5114"/>
    <w:rsid w:val="003B51E7"/>
    <w:rsid w:val="003B55DB"/>
    <w:rsid w:val="003B57A2"/>
    <w:rsid w:val="003B5883"/>
    <w:rsid w:val="003B5B42"/>
    <w:rsid w:val="003B5BF0"/>
    <w:rsid w:val="003B5D5B"/>
    <w:rsid w:val="003B6190"/>
    <w:rsid w:val="003B61C0"/>
    <w:rsid w:val="003B69C6"/>
    <w:rsid w:val="003B6A50"/>
    <w:rsid w:val="003B6AB2"/>
    <w:rsid w:val="003B70F4"/>
    <w:rsid w:val="003B754D"/>
    <w:rsid w:val="003B7AB9"/>
    <w:rsid w:val="003C08EB"/>
    <w:rsid w:val="003C0B6C"/>
    <w:rsid w:val="003C0C2D"/>
    <w:rsid w:val="003C0D94"/>
    <w:rsid w:val="003C0ECF"/>
    <w:rsid w:val="003C168E"/>
    <w:rsid w:val="003C16EA"/>
    <w:rsid w:val="003C185D"/>
    <w:rsid w:val="003C18BC"/>
    <w:rsid w:val="003C192F"/>
    <w:rsid w:val="003C1D25"/>
    <w:rsid w:val="003C1E36"/>
    <w:rsid w:val="003C1F82"/>
    <w:rsid w:val="003C217E"/>
    <w:rsid w:val="003C21C4"/>
    <w:rsid w:val="003C259C"/>
    <w:rsid w:val="003C2AED"/>
    <w:rsid w:val="003C2CC7"/>
    <w:rsid w:val="003C2DCF"/>
    <w:rsid w:val="003C2DDC"/>
    <w:rsid w:val="003C2F77"/>
    <w:rsid w:val="003C396E"/>
    <w:rsid w:val="003C3AB5"/>
    <w:rsid w:val="003C3CDD"/>
    <w:rsid w:val="003C3CEE"/>
    <w:rsid w:val="003C3DC4"/>
    <w:rsid w:val="003C43D1"/>
    <w:rsid w:val="003C4A24"/>
    <w:rsid w:val="003C5046"/>
    <w:rsid w:val="003C5097"/>
    <w:rsid w:val="003C5451"/>
    <w:rsid w:val="003C5D00"/>
    <w:rsid w:val="003C5F42"/>
    <w:rsid w:val="003C5FCF"/>
    <w:rsid w:val="003C608A"/>
    <w:rsid w:val="003C62CB"/>
    <w:rsid w:val="003C6427"/>
    <w:rsid w:val="003C6431"/>
    <w:rsid w:val="003C6625"/>
    <w:rsid w:val="003C6ACB"/>
    <w:rsid w:val="003C6D0D"/>
    <w:rsid w:val="003C6F5B"/>
    <w:rsid w:val="003C7644"/>
    <w:rsid w:val="003C77EB"/>
    <w:rsid w:val="003C7905"/>
    <w:rsid w:val="003C792C"/>
    <w:rsid w:val="003D00C4"/>
    <w:rsid w:val="003D023F"/>
    <w:rsid w:val="003D04B2"/>
    <w:rsid w:val="003D0550"/>
    <w:rsid w:val="003D0ACC"/>
    <w:rsid w:val="003D0ECE"/>
    <w:rsid w:val="003D196E"/>
    <w:rsid w:val="003D1A98"/>
    <w:rsid w:val="003D1EA4"/>
    <w:rsid w:val="003D21FD"/>
    <w:rsid w:val="003D26D9"/>
    <w:rsid w:val="003D2A06"/>
    <w:rsid w:val="003D2A19"/>
    <w:rsid w:val="003D43B6"/>
    <w:rsid w:val="003D46BC"/>
    <w:rsid w:val="003D4708"/>
    <w:rsid w:val="003D4EC0"/>
    <w:rsid w:val="003D4F64"/>
    <w:rsid w:val="003D53CA"/>
    <w:rsid w:val="003D577B"/>
    <w:rsid w:val="003D57B6"/>
    <w:rsid w:val="003D57EE"/>
    <w:rsid w:val="003D5C23"/>
    <w:rsid w:val="003D5C7F"/>
    <w:rsid w:val="003D5F37"/>
    <w:rsid w:val="003D602C"/>
    <w:rsid w:val="003D6205"/>
    <w:rsid w:val="003D67A7"/>
    <w:rsid w:val="003D6A15"/>
    <w:rsid w:val="003D6DFC"/>
    <w:rsid w:val="003D714E"/>
    <w:rsid w:val="003D72DA"/>
    <w:rsid w:val="003D74BF"/>
    <w:rsid w:val="003D74F3"/>
    <w:rsid w:val="003D7C4F"/>
    <w:rsid w:val="003D7C76"/>
    <w:rsid w:val="003E00A7"/>
    <w:rsid w:val="003E00F0"/>
    <w:rsid w:val="003E01C1"/>
    <w:rsid w:val="003E0305"/>
    <w:rsid w:val="003E03C7"/>
    <w:rsid w:val="003E082A"/>
    <w:rsid w:val="003E08E6"/>
    <w:rsid w:val="003E0A6D"/>
    <w:rsid w:val="003E0E50"/>
    <w:rsid w:val="003E1299"/>
    <w:rsid w:val="003E1475"/>
    <w:rsid w:val="003E18CB"/>
    <w:rsid w:val="003E1E7B"/>
    <w:rsid w:val="003E2053"/>
    <w:rsid w:val="003E2646"/>
    <w:rsid w:val="003E2CD7"/>
    <w:rsid w:val="003E318B"/>
    <w:rsid w:val="003E31D9"/>
    <w:rsid w:val="003E38DB"/>
    <w:rsid w:val="003E4386"/>
    <w:rsid w:val="003E47A3"/>
    <w:rsid w:val="003E4B59"/>
    <w:rsid w:val="003E4DF2"/>
    <w:rsid w:val="003E501E"/>
    <w:rsid w:val="003E51DB"/>
    <w:rsid w:val="003E53E2"/>
    <w:rsid w:val="003E543D"/>
    <w:rsid w:val="003E5725"/>
    <w:rsid w:val="003E5868"/>
    <w:rsid w:val="003E5E97"/>
    <w:rsid w:val="003E5F28"/>
    <w:rsid w:val="003E6712"/>
    <w:rsid w:val="003E6850"/>
    <w:rsid w:val="003E6859"/>
    <w:rsid w:val="003E6C8E"/>
    <w:rsid w:val="003E6CFB"/>
    <w:rsid w:val="003E6EAF"/>
    <w:rsid w:val="003E764D"/>
    <w:rsid w:val="003F01EA"/>
    <w:rsid w:val="003F029B"/>
    <w:rsid w:val="003F0399"/>
    <w:rsid w:val="003F0941"/>
    <w:rsid w:val="003F0B46"/>
    <w:rsid w:val="003F0BBB"/>
    <w:rsid w:val="003F0E33"/>
    <w:rsid w:val="003F0EFD"/>
    <w:rsid w:val="003F12E6"/>
    <w:rsid w:val="003F14CA"/>
    <w:rsid w:val="003F1B2E"/>
    <w:rsid w:val="003F1FF6"/>
    <w:rsid w:val="003F2232"/>
    <w:rsid w:val="003F23BD"/>
    <w:rsid w:val="003F23DC"/>
    <w:rsid w:val="003F266D"/>
    <w:rsid w:val="003F26E0"/>
    <w:rsid w:val="003F27E9"/>
    <w:rsid w:val="003F2842"/>
    <w:rsid w:val="003F2A14"/>
    <w:rsid w:val="003F2A4C"/>
    <w:rsid w:val="003F2A79"/>
    <w:rsid w:val="003F2E8E"/>
    <w:rsid w:val="003F2EBB"/>
    <w:rsid w:val="003F2EEA"/>
    <w:rsid w:val="003F3807"/>
    <w:rsid w:val="003F3900"/>
    <w:rsid w:val="003F3B1D"/>
    <w:rsid w:val="003F3C84"/>
    <w:rsid w:val="003F3F88"/>
    <w:rsid w:val="003F4100"/>
    <w:rsid w:val="003F42BF"/>
    <w:rsid w:val="003F439E"/>
    <w:rsid w:val="003F49B9"/>
    <w:rsid w:val="003F518C"/>
    <w:rsid w:val="003F51E5"/>
    <w:rsid w:val="003F53C1"/>
    <w:rsid w:val="003F5D80"/>
    <w:rsid w:val="003F5FA9"/>
    <w:rsid w:val="003F6267"/>
    <w:rsid w:val="003F648A"/>
    <w:rsid w:val="003F6834"/>
    <w:rsid w:val="003F69A7"/>
    <w:rsid w:val="003F69F4"/>
    <w:rsid w:val="003F6A7A"/>
    <w:rsid w:val="003F6BB3"/>
    <w:rsid w:val="003F6DB4"/>
    <w:rsid w:val="003F731D"/>
    <w:rsid w:val="003F747F"/>
    <w:rsid w:val="003F777D"/>
    <w:rsid w:val="003F79C1"/>
    <w:rsid w:val="003F7E30"/>
    <w:rsid w:val="00400046"/>
    <w:rsid w:val="00401061"/>
    <w:rsid w:val="0040116B"/>
    <w:rsid w:val="0040121D"/>
    <w:rsid w:val="00401705"/>
    <w:rsid w:val="004018F3"/>
    <w:rsid w:val="00401BEC"/>
    <w:rsid w:val="00401CD2"/>
    <w:rsid w:val="00401D01"/>
    <w:rsid w:val="00401E1C"/>
    <w:rsid w:val="00401FC1"/>
    <w:rsid w:val="00402168"/>
    <w:rsid w:val="00402424"/>
    <w:rsid w:val="00402607"/>
    <w:rsid w:val="0040277E"/>
    <w:rsid w:val="00402F66"/>
    <w:rsid w:val="0040348E"/>
    <w:rsid w:val="0040359D"/>
    <w:rsid w:val="0040369A"/>
    <w:rsid w:val="00403937"/>
    <w:rsid w:val="00403D05"/>
    <w:rsid w:val="00403EC6"/>
    <w:rsid w:val="00404033"/>
    <w:rsid w:val="004042AB"/>
    <w:rsid w:val="004044CE"/>
    <w:rsid w:val="00404B18"/>
    <w:rsid w:val="00404E4F"/>
    <w:rsid w:val="0040514B"/>
    <w:rsid w:val="00405180"/>
    <w:rsid w:val="0040528D"/>
    <w:rsid w:val="00405436"/>
    <w:rsid w:val="004058E7"/>
    <w:rsid w:val="00405CB4"/>
    <w:rsid w:val="00405F55"/>
    <w:rsid w:val="004061D0"/>
    <w:rsid w:val="0040630F"/>
    <w:rsid w:val="00406599"/>
    <w:rsid w:val="0040695D"/>
    <w:rsid w:val="00406AC8"/>
    <w:rsid w:val="00406CE1"/>
    <w:rsid w:val="00406ED9"/>
    <w:rsid w:val="004070BC"/>
    <w:rsid w:val="0040792E"/>
    <w:rsid w:val="00407AAB"/>
    <w:rsid w:val="004101A5"/>
    <w:rsid w:val="00410235"/>
    <w:rsid w:val="004102EA"/>
    <w:rsid w:val="00410444"/>
    <w:rsid w:val="00410A64"/>
    <w:rsid w:val="00410D0F"/>
    <w:rsid w:val="00410DEC"/>
    <w:rsid w:val="00411088"/>
    <w:rsid w:val="00411840"/>
    <w:rsid w:val="004118F5"/>
    <w:rsid w:val="00411977"/>
    <w:rsid w:val="00411A93"/>
    <w:rsid w:val="00411F3E"/>
    <w:rsid w:val="00412062"/>
    <w:rsid w:val="00412474"/>
    <w:rsid w:val="00412772"/>
    <w:rsid w:val="004127BF"/>
    <w:rsid w:val="004129B8"/>
    <w:rsid w:val="00412BCF"/>
    <w:rsid w:val="004134D8"/>
    <w:rsid w:val="004135E5"/>
    <w:rsid w:val="004139EA"/>
    <w:rsid w:val="00413A12"/>
    <w:rsid w:val="00413C93"/>
    <w:rsid w:val="00413C98"/>
    <w:rsid w:val="00413EAA"/>
    <w:rsid w:val="00413F60"/>
    <w:rsid w:val="004143EF"/>
    <w:rsid w:val="004146E0"/>
    <w:rsid w:val="004147AF"/>
    <w:rsid w:val="00414838"/>
    <w:rsid w:val="00415685"/>
    <w:rsid w:val="0041597D"/>
    <w:rsid w:val="00415B30"/>
    <w:rsid w:val="00416254"/>
    <w:rsid w:val="004162B7"/>
    <w:rsid w:val="00416BC1"/>
    <w:rsid w:val="00417041"/>
    <w:rsid w:val="00417366"/>
    <w:rsid w:val="004175A0"/>
    <w:rsid w:val="0041764D"/>
    <w:rsid w:val="0041765B"/>
    <w:rsid w:val="00417D09"/>
    <w:rsid w:val="004203FF"/>
    <w:rsid w:val="00420515"/>
    <w:rsid w:val="004208C8"/>
    <w:rsid w:val="00420B6D"/>
    <w:rsid w:val="00420D13"/>
    <w:rsid w:val="00420E3F"/>
    <w:rsid w:val="00420F70"/>
    <w:rsid w:val="00421007"/>
    <w:rsid w:val="00421255"/>
    <w:rsid w:val="004212BD"/>
    <w:rsid w:val="004212DE"/>
    <w:rsid w:val="0042199A"/>
    <w:rsid w:val="00421F04"/>
    <w:rsid w:val="00422042"/>
    <w:rsid w:val="004223C0"/>
    <w:rsid w:val="0042255E"/>
    <w:rsid w:val="004225DD"/>
    <w:rsid w:val="004227FE"/>
    <w:rsid w:val="0042295D"/>
    <w:rsid w:val="004229B1"/>
    <w:rsid w:val="00422CA8"/>
    <w:rsid w:val="00422CAD"/>
    <w:rsid w:val="00422D70"/>
    <w:rsid w:val="00423010"/>
    <w:rsid w:val="004231C6"/>
    <w:rsid w:val="0042346C"/>
    <w:rsid w:val="004239FF"/>
    <w:rsid w:val="00423DF4"/>
    <w:rsid w:val="00423F1D"/>
    <w:rsid w:val="00424017"/>
    <w:rsid w:val="0042437C"/>
    <w:rsid w:val="00424684"/>
    <w:rsid w:val="0042474A"/>
    <w:rsid w:val="0042477C"/>
    <w:rsid w:val="00424911"/>
    <w:rsid w:val="004249FB"/>
    <w:rsid w:val="004256A4"/>
    <w:rsid w:val="004260E4"/>
    <w:rsid w:val="004262AF"/>
    <w:rsid w:val="00426B6F"/>
    <w:rsid w:val="00426BD3"/>
    <w:rsid w:val="00426DB0"/>
    <w:rsid w:val="00426E51"/>
    <w:rsid w:val="004272F5"/>
    <w:rsid w:val="004279DD"/>
    <w:rsid w:val="00427DE0"/>
    <w:rsid w:val="00427EEE"/>
    <w:rsid w:val="0043062B"/>
    <w:rsid w:val="004309BB"/>
    <w:rsid w:val="00430C84"/>
    <w:rsid w:val="00431067"/>
    <w:rsid w:val="004310F8"/>
    <w:rsid w:val="0043110F"/>
    <w:rsid w:val="0043155D"/>
    <w:rsid w:val="00431A86"/>
    <w:rsid w:val="00431C49"/>
    <w:rsid w:val="00431FF3"/>
    <w:rsid w:val="00432527"/>
    <w:rsid w:val="00432713"/>
    <w:rsid w:val="00432B3C"/>
    <w:rsid w:val="00432C48"/>
    <w:rsid w:val="004331BD"/>
    <w:rsid w:val="0043375D"/>
    <w:rsid w:val="0043399F"/>
    <w:rsid w:val="00433D32"/>
    <w:rsid w:val="00434064"/>
    <w:rsid w:val="00434071"/>
    <w:rsid w:val="0043413B"/>
    <w:rsid w:val="00434200"/>
    <w:rsid w:val="0043425A"/>
    <w:rsid w:val="00434449"/>
    <w:rsid w:val="00434652"/>
    <w:rsid w:val="00434BE7"/>
    <w:rsid w:val="00434C0F"/>
    <w:rsid w:val="00434D14"/>
    <w:rsid w:val="00434E23"/>
    <w:rsid w:val="00434F25"/>
    <w:rsid w:val="004351B6"/>
    <w:rsid w:val="004357CC"/>
    <w:rsid w:val="004357FC"/>
    <w:rsid w:val="004358D1"/>
    <w:rsid w:val="00435933"/>
    <w:rsid w:val="00435C83"/>
    <w:rsid w:val="004360F7"/>
    <w:rsid w:val="004365F8"/>
    <w:rsid w:val="00436C2B"/>
    <w:rsid w:val="00436CFE"/>
    <w:rsid w:val="00436D94"/>
    <w:rsid w:val="00436FEC"/>
    <w:rsid w:val="00437410"/>
    <w:rsid w:val="00437477"/>
    <w:rsid w:val="00437ACD"/>
    <w:rsid w:val="00437FA7"/>
    <w:rsid w:val="00437FA8"/>
    <w:rsid w:val="0044024B"/>
    <w:rsid w:val="004405B1"/>
    <w:rsid w:val="00440795"/>
    <w:rsid w:val="004409ED"/>
    <w:rsid w:val="00440B65"/>
    <w:rsid w:val="00440E79"/>
    <w:rsid w:val="00440EBD"/>
    <w:rsid w:val="00440ED9"/>
    <w:rsid w:val="00440F42"/>
    <w:rsid w:val="0044119D"/>
    <w:rsid w:val="0044158E"/>
    <w:rsid w:val="00441766"/>
    <w:rsid w:val="00441A7D"/>
    <w:rsid w:val="00441EA6"/>
    <w:rsid w:val="00442204"/>
    <w:rsid w:val="0044283F"/>
    <w:rsid w:val="00442970"/>
    <w:rsid w:val="00442A15"/>
    <w:rsid w:val="00442D11"/>
    <w:rsid w:val="00442FE6"/>
    <w:rsid w:val="00443025"/>
    <w:rsid w:val="00443568"/>
    <w:rsid w:val="0044373D"/>
    <w:rsid w:val="00443838"/>
    <w:rsid w:val="004438C5"/>
    <w:rsid w:val="00444288"/>
    <w:rsid w:val="00444290"/>
    <w:rsid w:val="00444C62"/>
    <w:rsid w:val="0044504A"/>
    <w:rsid w:val="004450E2"/>
    <w:rsid w:val="00445506"/>
    <w:rsid w:val="00445704"/>
    <w:rsid w:val="0044591E"/>
    <w:rsid w:val="00445BC7"/>
    <w:rsid w:val="00445E0E"/>
    <w:rsid w:val="00445FDB"/>
    <w:rsid w:val="00446362"/>
    <w:rsid w:val="00446D94"/>
    <w:rsid w:val="00447302"/>
    <w:rsid w:val="004474B9"/>
    <w:rsid w:val="00447C8E"/>
    <w:rsid w:val="00447E4B"/>
    <w:rsid w:val="00450378"/>
    <w:rsid w:val="00450457"/>
    <w:rsid w:val="0045057A"/>
    <w:rsid w:val="004505AC"/>
    <w:rsid w:val="004505F1"/>
    <w:rsid w:val="0045067D"/>
    <w:rsid w:val="00450BF1"/>
    <w:rsid w:val="00450BFF"/>
    <w:rsid w:val="00450E58"/>
    <w:rsid w:val="0045132E"/>
    <w:rsid w:val="0045187F"/>
    <w:rsid w:val="00451A21"/>
    <w:rsid w:val="00452570"/>
    <w:rsid w:val="00452816"/>
    <w:rsid w:val="00452F15"/>
    <w:rsid w:val="00453254"/>
    <w:rsid w:val="00453601"/>
    <w:rsid w:val="0045373B"/>
    <w:rsid w:val="00453AA1"/>
    <w:rsid w:val="0045426B"/>
    <w:rsid w:val="004547F7"/>
    <w:rsid w:val="00454838"/>
    <w:rsid w:val="0045493F"/>
    <w:rsid w:val="0045533F"/>
    <w:rsid w:val="004561C9"/>
    <w:rsid w:val="004561D8"/>
    <w:rsid w:val="00456221"/>
    <w:rsid w:val="004563D6"/>
    <w:rsid w:val="004564BE"/>
    <w:rsid w:val="0045679B"/>
    <w:rsid w:val="004567C7"/>
    <w:rsid w:val="004567FD"/>
    <w:rsid w:val="004569F0"/>
    <w:rsid w:val="00456EF8"/>
    <w:rsid w:val="0045745B"/>
    <w:rsid w:val="0045749B"/>
    <w:rsid w:val="00457EB1"/>
    <w:rsid w:val="00457EB7"/>
    <w:rsid w:val="00457EBD"/>
    <w:rsid w:val="00460148"/>
    <w:rsid w:val="00460173"/>
    <w:rsid w:val="00460240"/>
    <w:rsid w:val="00460632"/>
    <w:rsid w:val="00460D87"/>
    <w:rsid w:val="00461723"/>
    <w:rsid w:val="00461786"/>
    <w:rsid w:val="00461791"/>
    <w:rsid w:val="00461CAF"/>
    <w:rsid w:val="00461D13"/>
    <w:rsid w:val="00461ED5"/>
    <w:rsid w:val="00462041"/>
    <w:rsid w:val="00462369"/>
    <w:rsid w:val="0046254E"/>
    <w:rsid w:val="00462855"/>
    <w:rsid w:val="004629E7"/>
    <w:rsid w:val="00462D11"/>
    <w:rsid w:val="00462F5B"/>
    <w:rsid w:val="0046326F"/>
    <w:rsid w:val="004632FA"/>
    <w:rsid w:val="00463531"/>
    <w:rsid w:val="00463657"/>
    <w:rsid w:val="00463992"/>
    <w:rsid w:val="00463AE8"/>
    <w:rsid w:val="004640A6"/>
    <w:rsid w:val="0046421E"/>
    <w:rsid w:val="00464313"/>
    <w:rsid w:val="00464523"/>
    <w:rsid w:val="00464CB5"/>
    <w:rsid w:val="00464D4D"/>
    <w:rsid w:val="00464E6B"/>
    <w:rsid w:val="00464E8D"/>
    <w:rsid w:val="0046511C"/>
    <w:rsid w:val="0046534C"/>
    <w:rsid w:val="0046535C"/>
    <w:rsid w:val="00465906"/>
    <w:rsid w:val="00465A25"/>
    <w:rsid w:val="00465B2D"/>
    <w:rsid w:val="00465D26"/>
    <w:rsid w:val="00465E28"/>
    <w:rsid w:val="00465FCA"/>
    <w:rsid w:val="00466ABA"/>
    <w:rsid w:val="00467639"/>
    <w:rsid w:val="004676E4"/>
    <w:rsid w:val="0046774B"/>
    <w:rsid w:val="00467762"/>
    <w:rsid w:val="00467786"/>
    <w:rsid w:val="00467C25"/>
    <w:rsid w:val="0047047E"/>
    <w:rsid w:val="0047068F"/>
    <w:rsid w:val="00470ACF"/>
    <w:rsid w:val="0047105D"/>
    <w:rsid w:val="004713D5"/>
    <w:rsid w:val="004714C2"/>
    <w:rsid w:val="0047162D"/>
    <w:rsid w:val="00471681"/>
    <w:rsid w:val="0047175B"/>
    <w:rsid w:val="004718D2"/>
    <w:rsid w:val="004718D6"/>
    <w:rsid w:val="00471C8D"/>
    <w:rsid w:val="00471D7A"/>
    <w:rsid w:val="00471D9F"/>
    <w:rsid w:val="00471E7F"/>
    <w:rsid w:val="00472392"/>
    <w:rsid w:val="004723C0"/>
    <w:rsid w:val="00472507"/>
    <w:rsid w:val="004725A9"/>
    <w:rsid w:val="004725DA"/>
    <w:rsid w:val="004725E2"/>
    <w:rsid w:val="00472AC9"/>
    <w:rsid w:val="00472BA7"/>
    <w:rsid w:val="00472D5F"/>
    <w:rsid w:val="0047300C"/>
    <w:rsid w:val="004732A2"/>
    <w:rsid w:val="004733DA"/>
    <w:rsid w:val="0047376B"/>
    <w:rsid w:val="0047385B"/>
    <w:rsid w:val="00473A35"/>
    <w:rsid w:val="00473B7B"/>
    <w:rsid w:val="004743FA"/>
    <w:rsid w:val="00474866"/>
    <w:rsid w:val="00474A4D"/>
    <w:rsid w:val="00474B5A"/>
    <w:rsid w:val="00474CE8"/>
    <w:rsid w:val="00474F6B"/>
    <w:rsid w:val="00474FF6"/>
    <w:rsid w:val="00475872"/>
    <w:rsid w:val="00475ABF"/>
    <w:rsid w:val="00475DD6"/>
    <w:rsid w:val="00475EB3"/>
    <w:rsid w:val="004762CC"/>
    <w:rsid w:val="00476320"/>
    <w:rsid w:val="004766B6"/>
    <w:rsid w:val="004770EB"/>
    <w:rsid w:val="00477166"/>
    <w:rsid w:val="00477482"/>
    <w:rsid w:val="0047753F"/>
    <w:rsid w:val="004779F5"/>
    <w:rsid w:val="004801B1"/>
    <w:rsid w:val="00480254"/>
    <w:rsid w:val="00480330"/>
    <w:rsid w:val="004808D1"/>
    <w:rsid w:val="0048118F"/>
    <w:rsid w:val="00481245"/>
    <w:rsid w:val="00481443"/>
    <w:rsid w:val="0048157D"/>
    <w:rsid w:val="004815E8"/>
    <w:rsid w:val="004815F9"/>
    <w:rsid w:val="00481A3B"/>
    <w:rsid w:val="00481A9A"/>
    <w:rsid w:val="00481E1E"/>
    <w:rsid w:val="00482739"/>
    <w:rsid w:val="00482C06"/>
    <w:rsid w:val="00483347"/>
    <w:rsid w:val="004833DF"/>
    <w:rsid w:val="0048369B"/>
    <w:rsid w:val="0048372D"/>
    <w:rsid w:val="00483D8F"/>
    <w:rsid w:val="00483D95"/>
    <w:rsid w:val="00483EDF"/>
    <w:rsid w:val="00484278"/>
    <w:rsid w:val="004844C6"/>
    <w:rsid w:val="004844CE"/>
    <w:rsid w:val="00484548"/>
    <w:rsid w:val="00484935"/>
    <w:rsid w:val="00484B66"/>
    <w:rsid w:val="00484CA3"/>
    <w:rsid w:val="0048507F"/>
    <w:rsid w:val="0048509B"/>
    <w:rsid w:val="004850D4"/>
    <w:rsid w:val="004850DD"/>
    <w:rsid w:val="00485224"/>
    <w:rsid w:val="00485826"/>
    <w:rsid w:val="00485843"/>
    <w:rsid w:val="00485A81"/>
    <w:rsid w:val="004862F6"/>
    <w:rsid w:val="0048647D"/>
    <w:rsid w:val="00486976"/>
    <w:rsid w:val="00486A02"/>
    <w:rsid w:val="00486AB0"/>
    <w:rsid w:val="00486B06"/>
    <w:rsid w:val="00486EF9"/>
    <w:rsid w:val="00487189"/>
    <w:rsid w:val="0048756D"/>
    <w:rsid w:val="00487F18"/>
    <w:rsid w:val="00490302"/>
    <w:rsid w:val="004905C5"/>
    <w:rsid w:val="00490686"/>
    <w:rsid w:val="00490A2E"/>
    <w:rsid w:val="00490A7E"/>
    <w:rsid w:val="00490F49"/>
    <w:rsid w:val="004911F7"/>
    <w:rsid w:val="00491451"/>
    <w:rsid w:val="004914DE"/>
    <w:rsid w:val="0049169B"/>
    <w:rsid w:val="00491D5F"/>
    <w:rsid w:val="0049201D"/>
    <w:rsid w:val="004924B8"/>
    <w:rsid w:val="00492527"/>
    <w:rsid w:val="004927BD"/>
    <w:rsid w:val="00492B57"/>
    <w:rsid w:val="00492C6A"/>
    <w:rsid w:val="004931BD"/>
    <w:rsid w:val="0049347D"/>
    <w:rsid w:val="004934FA"/>
    <w:rsid w:val="00494072"/>
    <w:rsid w:val="004940D4"/>
    <w:rsid w:val="00494118"/>
    <w:rsid w:val="00494346"/>
    <w:rsid w:val="0049442D"/>
    <w:rsid w:val="004945A1"/>
    <w:rsid w:val="0049484A"/>
    <w:rsid w:val="00494C00"/>
    <w:rsid w:val="00495323"/>
    <w:rsid w:val="00495F1B"/>
    <w:rsid w:val="00495FE1"/>
    <w:rsid w:val="004962F5"/>
    <w:rsid w:val="004964A8"/>
    <w:rsid w:val="004969B6"/>
    <w:rsid w:val="00496A68"/>
    <w:rsid w:val="0049719C"/>
    <w:rsid w:val="004977B3"/>
    <w:rsid w:val="00497B93"/>
    <w:rsid w:val="00497C8F"/>
    <w:rsid w:val="00497CE3"/>
    <w:rsid w:val="004A009C"/>
    <w:rsid w:val="004A07C1"/>
    <w:rsid w:val="004A14E4"/>
    <w:rsid w:val="004A1541"/>
    <w:rsid w:val="004A1AA3"/>
    <w:rsid w:val="004A1BA6"/>
    <w:rsid w:val="004A1D93"/>
    <w:rsid w:val="004A225B"/>
    <w:rsid w:val="004A22DB"/>
    <w:rsid w:val="004A24E7"/>
    <w:rsid w:val="004A2505"/>
    <w:rsid w:val="004A273D"/>
    <w:rsid w:val="004A2883"/>
    <w:rsid w:val="004A2B84"/>
    <w:rsid w:val="004A2C9D"/>
    <w:rsid w:val="004A2E97"/>
    <w:rsid w:val="004A35AE"/>
    <w:rsid w:val="004A3AAC"/>
    <w:rsid w:val="004A3E1A"/>
    <w:rsid w:val="004A419C"/>
    <w:rsid w:val="004A4346"/>
    <w:rsid w:val="004A4553"/>
    <w:rsid w:val="004A470B"/>
    <w:rsid w:val="004A5771"/>
    <w:rsid w:val="004A5777"/>
    <w:rsid w:val="004A607B"/>
    <w:rsid w:val="004A6097"/>
    <w:rsid w:val="004A63EE"/>
    <w:rsid w:val="004A6698"/>
    <w:rsid w:val="004A6BE4"/>
    <w:rsid w:val="004A6D14"/>
    <w:rsid w:val="004A70D8"/>
    <w:rsid w:val="004A7192"/>
    <w:rsid w:val="004A73C9"/>
    <w:rsid w:val="004A73FF"/>
    <w:rsid w:val="004A74F2"/>
    <w:rsid w:val="004A76EE"/>
    <w:rsid w:val="004A77BD"/>
    <w:rsid w:val="004A79FF"/>
    <w:rsid w:val="004B003B"/>
    <w:rsid w:val="004B0175"/>
    <w:rsid w:val="004B0531"/>
    <w:rsid w:val="004B0778"/>
    <w:rsid w:val="004B127B"/>
    <w:rsid w:val="004B1343"/>
    <w:rsid w:val="004B1738"/>
    <w:rsid w:val="004B189A"/>
    <w:rsid w:val="004B26BD"/>
    <w:rsid w:val="004B310E"/>
    <w:rsid w:val="004B332D"/>
    <w:rsid w:val="004B3DFF"/>
    <w:rsid w:val="004B42AD"/>
    <w:rsid w:val="004B46AE"/>
    <w:rsid w:val="004B4835"/>
    <w:rsid w:val="004B4877"/>
    <w:rsid w:val="004B4AE3"/>
    <w:rsid w:val="004B4C35"/>
    <w:rsid w:val="004B4FB1"/>
    <w:rsid w:val="004B52EE"/>
    <w:rsid w:val="004B54D8"/>
    <w:rsid w:val="004B5716"/>
    <w:rsid w:val="004B57D2"/>
    <w:rsid w:val="004B5E76"/>
    <w:rsid w:val="004B644E"/>
    <w:rsid w:val="004B65C0"/>
    <w:rsid w:val="004B6820"/>
    <w:rsid w:val="004B688D"/>
    <w:rsid w:val="004B6F87"/>
    <w:rsid w:val="004B767F"/>
    <w:rsid w:val="004B772A"/>
    <w:rsid w:val="004B78D9"/>
    <w:rsid w:val="004C066C"/>
    <w:rsid w:val="004C06F1"/>
    <w:rsid w:val="004C0777"/>
    <w:rsid w:val="004C1408"/>
    <w:rsid w:val="004C15D2"/>
    <w:rsid w:val="004C15F1"/>
    <w:rsid w:val="004C1753"/>
    <w:rsid w:val="004C17AF"/>
    <w:rsid w:val="004C1A9C"/>
    <w:rsid w:val="004C1AB2"/>
    <w:rsid w:val="004C1BE6"/>
    <w:rsid w:val="004C1CE2"/>
    <w:rsid w:val="004C1EDF"/>
    <w:rsid w:val="004C2161"/>
    <w:rsid w:val="004C236E"/>
    <w:rsid w:val="004C23A2"/>
    <w:rsid w:val="004C260E"/>
    <w:rsid w:val="004C293A"/>
    <w:rsid w:val="004C2985"/>
    <w:rsid w:val="004C2A2D"/>
    <w:rsid w:val="004C2BC2"/>
    <w:rsid w:val="004C2EB0"/>
    <w:rsid w:val="004C30EF"/>
    <w:rsid w:val="004C3503"/>
    <w:rsid w:val="004C35EF"/>
    <w:rsid w:val="004C3A73"/>
    <w:rsid w:val="004C3FD8"/>
    <w:rsid w:val="004C418C"/>
    <w:rsid w:val="004C42C8"/>
    <w:rsid w:val="004C4391"/>
    <w:rsid w:val="004C4B7D"/>
    <w:rsid w:val="004C4E83"/>
    <w:rsid w:val="004C4F21"/>
    <w:rsid w:val="004C52FB"/>
    <w:rsid w:val="004C5598"/>
    <w:rsid w:val="004C55F9"/>
    <w:rsid w:val="004C57A4"/>
    <w:rsid w:val="004C587C"/>
    <w:rsid w:val="004C5AF8"/>
    <w:rsid w:val="004C5C22"/>
    <w:rsid w:val="004C5F0C"/>
    <w:rsid w:val="004C631E"/>
    <w:rsid w:val="004C63B1"/>
    <w:rsid w:val="004C63D9"/>
    <w:rsid w:val="004C6509"/>
    <w:rsid w:val="004C65C7"/>
    <w:rsid w:val="004C6912"/>
    <w:rsid w:val="004C6A0E"/>
    <w:rsid w:val="004C6E7C"/>
    <w:rsid w:val="004C6FAC"/>
    <w:rsid w:val="004C7413"/>
    <w:rsid w:val="004C7592"/>
    <w:rsid w:val="004C75AD"/>
    <w:rsid w:val="004C78BC"/>
    <w:rsid w:val="004C7A62"/>
    <w:rsid w:val="004C7ABE"/>
    <w:rsid w:val="004C7CD8"/>
    <w:rsid w:val="004C7D32"/>
    <w:rsid w:val="004C7D7B"/>
    <w:rsid w:val="004C7F44"/>
    <w:rsid w:val="004D02B2"/>
    <w:rsid w:val="004D0D0A"/>
    <w:rsid w:val="004D0D9F"/>
    <w:rsid w:val="004D116A"/>
    <w:rsid w:val="004D190A"/>
    <w:rsid w:val="004D191E"/>
    <w:rsid w:val="004D197A"/>
    <w:rsid w:val="004D1EB0"/>
    <w:rsid w:val="004D2047"/>
    <w:rsid w:val="004D22FE"/>
    <w:rsid w:val="004D282E"/>
    <w:rsid w:val="004D2A4F"/>
    <w:rsid w:val="004D2F4C"/>
    <w:rsid w:val="004D3351"/>
    <w:rsid w:val="004D35D5"/>
    <w:rsid w:val="004D35E6"/>
    <w:rsid w:val="004D36FC"/>
    <w:rsid w:val="004D3894"/>
    <w:rsid w:val="004D3AD2"/>
    <w:rsid w:val="004D3E3F"/>
    <w:rsid w:val="004D4304"/>
    <w:rsid w:val="004D44F1"/>
    <w:rsid w:val="004D45AB"/>
    <w:rsid w:val="004D4777"/>
    <w:rsid w:val="004D48F1"/>
    <w:rsid w:val="004D4955"/>
    <w:rsid w:val="004D4B4B"/>
    <w:rsid w:val="004D4BFE"/>
    <w:rsid w:val="004D4CF0"/>
    <w:rsid w:val="004D4E2F"/>
    <w:rsid w:val="004D4EE6"/>
    <w:rsid w:val="004D505F"/>
    <w:rsid w:val="004D52DA"/>
    <w:rsid w:val="004D574D"/>
    <w:rsid w:val="004D5BAC"/>
    <w:rsid w:val="004D5DB1"/>
    <w:rsid w:val="004D6525"/>
    <w:rsid w:val="004D66E9"/>
    <w:rsid w:val="004D66EA"/>
    <w:rsid w:val="004D68D7"/>
    <w:rsid w:val="004D6A44"/>
    <w:rsid w:val="004D6CC6"/>
    <w:rsid w:val="004D6DC3"/>
    <w:rsid w:val="004D6EC8"/>
    <w:rsid w:val="004D6EF2"/>
    <w:rsid w:val="004D6FE4"/>
    <w:rsid w:val="004D736C"/>
    <w:rsid w:val="004D7641"/>
    <w:rsid w:val="004D7C92"/>
    <w:rsid w:val="004D7ED8"/>
    <w:rsid w:val="004D7F81"/>
    <w:rsid w:val="004E028A"/>
    <w:rsid w:val="004E05BF"/>
    <w:rsid w:val="004E05EB"/>
    <w:rsid w:val="004E07FE"/>
    <w:rsid w:val="004E0935"/>
    <w:rsid w:val="004E0A79"/>
    <w:rsid w:val="004E0AC8"/>
    <w:rsid w:val="004E0B86"/>
    <w:rsid w:val="004E10F9"/>
    <w:rsid w:val="004E192E"/>
    <w:rsid w:val="004E1E20"/>
    <w:rsid w:val="004E1EF1"/>
    <w:rsid w:val="004E22E9"/>
    <w:rsid w:val="004E252F"/>
    <w:rsid w:val="004E254F"/>
    <w:rsid w:val="004E265A"/>
    <w:rsid w:val="004E2827"/>
    <w:rsid w:val="004E2BA4"/>
    <w:rsid w:val="004E2C98"/>
    <w:rsid w:val="004E31A3"/>
    <w:rsid w:val="004E32D3"/>
    <w:rsid w:val="004E3993"/>
    <w:rsid w:val="004E45DD"/>
    <w:rsid w:val="004E4C2E"/>
    <w:rsid w:val="004E4D31"/>
    <w:rsid w:val="004E4D41"/>
    <w:rsid w:val="004E4FB9"/>
    <w:rsid w:val="004E5B00"/>
    <w:rsid w:val="004E5C2D"/>
    <w:rsid w:val="004E5DC3"/>
    <w:rsid w:val="004E6206"/>
    <w:rsid w:val="004E6360"/>
    <w:rsid w:val="004E665C"/>
    <w:rsid w:val="004E69CB"/>
    <w:rsid w:val="004E71E7"/>
    <w:rsid w:val="004E738D"/>
    <w:rsid w:val="004E747D"/>
    <w:rsid w:val="004E7684"/>
    <w:rsid w:val="004E7881"/>
    <w:rsid w:val="004E7B60"/>
    <w:rsid w:val="004E7C37"/>
    <w:rsid w:val="004E7EC7"/>
    <w:rsid w:val="004F044B"/>
    <w:rsid w:val="004F0689"/>
    <w:rsid w:val="004F0921"/>
    <w:rsid w:val="004F0997"/>
    <w:rsid w:val="004F0A79"/>
    <w:rsid w:val="004F0BB3"/>
    <w:rsid w:val="004F0E2E"/>
    <w:rsid w:val="004F0FFD"/>
    <w:rsid w:val="004F108B"/>
    <w:rsid w:val="004F13BF"/>
    <w:rsid w:val="004F1439"/>
    <w:rsid w:val="004F15FC"/>
    <w:rsid w:val="004F1CDD"/>
    <w:rsid w:val="004F1E73"/>
    <w:rsid w:val="004F254C"/>
    <w:rsid w:val="004F31F7"/>
    <w:rsid w:val="004F32F0"/>
    <w:rsid w:val="004F34E9"/>
    <w:rsid w:val="004F3817"/>
    <w:rsid w:val="004F3876"/>
    <w:rsid w:val="004F3A52"/>
    <w:rsid w:val="004F3E10"/>
    <w:rsid w:val="004F4132"/>
    <w:rsid w:val="004F4597"/>
    <w:rsid w:val="004F45E4"/>
    <w:rsid w:val="004F46ED"/>
    <w:rsid w:val="004F4873"/>
    <w:rsid w:val="004F4974"/>
    <w:rsid w:val="004F4DB0"/>
    <w:rsid w:val="004F4ED9"/>
    <w:rsid w:val="004F50A0"/>
    <w:rsid w:val="004F54A7"/>
    <w:rsid w:val="004F56C7"/>
    <w:rsid w:val="004F5AAF"/>
    <w:rsid w:val="004F5D21"/>
    <w:rsid w:val="004F644F"/>
    <w:rsid w:val="004F6754"/>
    <w:rsid w:val="004F6993"/>
    <w:rsid w:val="004F6A26"/>
    <w:rsid w:val="004F6A7B"/>
    <w:rsid w:val="004F6AB8"/>
    <w:rsid w:val="004F71E8"/>
    <w:rsid w:val="004F7296"/>
    <w:rsid w:val="004F74AB"/>
    <w:rsid w:val="004F74C1"/>
    <w:rsid w:val="004F7C9E"/>
    <w:rsid w:val="004F7E44"/>
    <w:rsid w:val="005000DB"/>
    <w:rsid w:val="00500285"/>
    <w:rsid w:val="0050039C"/>
    <w:rsid w:val="00500438"/>
    <w:rsid w:val="00500571"/>
    <w:rsid w:val="005006C0"/>
    <w:rsid w:val="00500853"/>
    <w:rsid w:val="00500DDE"/>
    <w:rsid w:val="00500F20"/>
    <w:rsid w:val="00501765"/>
    <w:rsid w:val="005018C0"/>
    <w:rsid w:val="005019C7"/>
    <w:rsid w:val="00501EDB"/>
    <w:rsid w:val="0050238C"/>
    <w:rsid w:val="00502393"/>
    <w:rsid w:val="005026DB"/>
    <w:rsid w:val="0050284F"/>
    <w:rsid w:val="00502B5C"/>
    <w:rsid w:val="00502D0E"/>
    <w:rsid w:val="00503001"/>
    <w:rsid w:val="00503C5D"/>
    <w:rsid w:val="00503F60"/>
    <w:rsid w:val="00503F95"/>
    <w:rsid w:val="0050404A"/>
    <w:rsid w:val="00504196"/>
    <w:rsid w:val="00504275"/>
    <w:rsid w:val="0050483D"/>
    <w:rsid w:val="005048AE"/>
    <w:rsid w:val="00504A17"/>
    <w:rsid w:val="00504BC1"/>
    <w:rsid w:val="00504F15"/>
    <w:rsid w:val="00504FC9"/>
    <w:rsid w:val="0050501D"/>
    <w:rsid w:val="0050510F"/>
    <w:rsid w:val="005051DB"/>
    <w:rsid w:val="00505283"/>
    <w:rsid w:val="00505617"/>
    <w:rsid w:val="005059D5"/>
    <w:rsid w:val="00505AD6"/>
    <w:rsid w:val="00505C43"/>
    <w:rsid w:val="005066E1"/>
    <w:rsid w:val="00506792"/>
    <w:rsid w:val="005068D3"/>
    <w:rsid w:val="005068E9"/>
    <w:rsid w:val="0050717C"/>
    <w:rsid w:val="005074AD"/>
    <w:rsid w:val="005076F0"/>
    <w:rsid w:val="00507C64"/>
    <w:rsid w:val="0051063C"/>
    <w:rsid w:val="005106D0"/>
    <w:rsid w:val="0051125B"/>
    <w:rsid w:val="00511643"/>
    <w:rsid w:val="005116A1"/>
    <w:rsid w:val="005116C0"/>
    <w:rsid w:val="00511960"/>
    <w:rsid w:val="00511AAE"/>
    <w:rsid w:val="00511B9C"/>
    <w:rsid w:val="00511BCB"/>
    <w:rsid w:val="00511C5C"/>
    <w:rsid w:val="00512588"/>
    <w:rsid w:val="00512676"/>
    <w:rsid w:val="00512A50"/>
    <w:rsid w:val="00512CCD"/>
    <w:rsid w:val="00513141"/>
    <w:rsid w:val="00513180"/>
    <w:rsid w:val="00513358"/>
    <w:rsid w:val="00513973"/>
    <w:rsid w:val="00513AE5"/>
    <w:rsid w:val="00513B11"/>
    <w:rsid w:val="0051413A"/>
    <w:rsid w:val="0051489B"/>
    <w:rsid w:val="00514B5D"/>
    <w:rsid w:val="00515344"/>
    <w:rsid w:val="0051566A"/>
    <w:rsid w:val="0051589E"/>
    <w:rsid w:val="005158DA"/>
    <w:rsid w:val="00515D64"/>
    <w:rsid w:val="00515D7A"/>
    <w:rsid w:val="00516292"/>
    <w:rsid w:val="005163C6"/>
    <w:rsid w:val="0051661C"/>
    <w:rsid w:val="005166B3"/>
    <w:rsid w:val="0051692D"/>
    <w:rsid w:val="00517523"/>
    <w:rsid w:val="005175B0"/>
    <w:rsid w:val="0051777B"/>
    <w:rsid w:val="00517904"/>
    <w:rsid w:val="005179DA"/>
    <w:rsid w:val="00517C36"/>
    <w:rsid w:val="00517CC0"/>
    <w:rsid w:val="00520025"/>
    <w:rsid w:val="005200E6"/>
    <w:rsid w:val="00520201"/>
    <w:rsid w:val="00520E17"/>
    <w:rsid w:val="00520E48"/>
    <w:rsid w:val="00520EF1"/>
    <w:rsid w:val="00521208"/>
    <w:rsid w:val="005212CA"/>
    <w:rsid w:val="005213C8"/>
    <w:rsid w:val="00521CA2"/>
    <w:rsid w:val="00522395"/>
    <w:rsid w:val="005225B3"/>
    <w:rsid w:val="00523013"/>
    <w:rsid w:val="00523959"/>
    <w:rsid w:val="005239A2"/>
    <w:rsid w:val="005239DB"/>
    <w:rsid w:val="00523AC5"/>
    <w:rsid w:val="00523BAD"/>
    <w:rsid w:val="00523E36"/>
    <w:rsid w:val="0052410F"/>
    <w:rsid w:val="00524802"/>
    <w:rsid w:val="00524995"/>
    <w:rsid w:val="00524EF4"/>
    <w:rsid w:val="005250A2"/>
    <w:rsid w:val="00525368"/>
    <w:rsid w:val="00525472"/>
    <w:rsid w:val="00525A00"/>
    <w:rsid w:val="0052607C"/>
    <w:rsid w:val="00526085"/>
    <w:rsid w:val="0052624A"/>
    <w:rsid w:val="0052633A"/>
    <w:rsid w:val="00526368"/>
    <w:rsid w:val="0052680F"/>
    <w:rsid w:val="0052697F"/>
    <w:rsid w:val="00526A12"/>
    <w:rsid w:val="00526E21"/>
    <w:rsid w:val="00526FCF"/>
    <w:rsid w:val="005272B8"/>
    <w:rsid w:val="005277CC"/>
    <w:rsid w:val="00527BCC"/>
    <w:rsid w:val="00527BD5"/>
    <w:rsid w:val="005301BA"/>
    <w:rsid w:val="0053047D"/>
    <w:rsid w:val="005308B6"/>
    <w:rsid w:val="005309B4"/>
    <w:rsid w:val="00530BFA"/>
    <w:rsid w:val="00530E03"/>
    <w:rsid w:val="0053112A"/>
    <w:rsid w:val="005311B7"/>
    <w:rsid w:val="0053122A"/>
    <w:rsid w:val="00531277"/>
    <w:rsid w:val="00531488"/>
    <w:rsid w:val="0053152D"/>
    <w:rsid w:val="0053157A"/>
    <w:rsid w:val="005315FC"/>
    <w:rsid w:val="00531B46"/>
    <w:rsid w:val="00532215"/>
    <w:rsid w:val="00532772"/>
    <w:rsid w:val="00532954"/>
    <w:rsid w:val="00532B15"/>
    <w:rsid w:val="00532BE7"/>
    <w:rsid w:val="00532C4C"/>
    <w:rsid w:val="00532C7E"/>
    <w:rsid w:val="00532D73"/>
    <w:rsid w:val="00532DC9"/>
    <w:rsid w:val="00532EA2"/>
    <w:rsid w:val="00533168"/>
    <w:rsid w:val="005331B0"/>
    <w:rsid w:val="00533372"/>
    <w:rsid w:val="005334A3"/>
    <w:rsid w:val="005336D2"/>
    <w:rsid w:val="00533987"/>
    <w:rsid w:val="00533A57"/>
    <w:rsid w:val="00533E8B"/>
    <w:rsid w:val="0053435C"/>
    <w:rsid w:val="0053445D"/>
    <w:rsid w:val="005348D9"/>
    <w:rsid w:val="00534AD4"/>
    <w:rsid w:val="00534B43"/>
    <w:rsid w:val="00534B65"/>
    <w:rsid w:val="00534CB7"/>
    <w:rsid w:val="0053584D"/>
    <w:rsid w:val="005358CB"/>
    <w:rsid w:val="005359AD"/>
    <w:rsid w:val="00536054"/>
    <w:rsid w:val="00536059"/>
    <w:rsid w:val="00536944"/>
    <w:rsid w:val="00536E65"/>
    <w:rsid w:val="00537033"/>
    <w:rsid w:val="005373F0"/>
    <w:rsid w:val="00537C48"/>
    <w:rsid w:val="00537D63"/>
    <w:rsid w:val="0054071D"/>
    <w:rsid w:val="00540DF2"/>
    <w:rsid w:val="00540FAD"/>
    <w:rsid w:val="00540FBD"/>
    <w:rsid w:val="00541061"/>
    <w:rsid w:val="00541779"/>
    <w:rsid w:val="00541874"/>
    <w:rsid w:val="00541EC8"/>
    <w:rsid w:val="00542277"/>
    <w:rsid w:val="005422A7"/>
    <w:rsid w:val="005423AF"/>
    <w:rsid w:val="00542566"/>
    <w:rsid w:val="005426A7"/>
    <w:rsid w:val="0054272D"/>
    <w:rsid w:val="00542906"/>
    <w:rsid w:val="00543174"/>
    <w:rsid w:val="0054354F"/>
    <w:rsid w:val="0054373E"/>
    <w:rsid w:val="00543826"/>
    <w:rsid w:val="00543885"/>
    <w:rsid w:val="00543A2D"/>
    <w:rsid w:val="00543C05"/>
    <w:rsid w:val="00543C1B"/>
    <w:rsid w:val="00543D1E"/>
    <w:rsid w:val="00543E72"/>
    <w:rsid w:val="00543FDB"/>
    <w:rsid w:val="005440FE"/>
    <w:rsid w:val="005441AD"/>
    <w:rsid w:val="005442CE"/>
    <w:rsid w:val="00544900"/>
    <w:rsid w:val="00544E34"/>
    <w:rsid w:val="00544F54"/>
    <w:rsid w:val="00545087"/>
    <w:rsid w:val="00545B03"/>
    <w:rsid w:val="00545DAA"/>
    <w:rsid w:val="00545DFC"/>
    <w:rsid w:val="0054616D"/>
    <w:rsid w:val="0054674F"/>
    <w:rsid w:val="00546816"/>
    <w:rsid w:val="00546B6D"/>
    <w:rsid w:val="00546BC2"/>
    <w:rsid w:val="00546D48"/>
    <w:rsid w:val="00546E05"/>
    <w:rsid w:val="0054707C"/>
    <w:rsid w:val="00547083"/>
    <w:rsid w:val="00547249"/>
    <w:rsid w:val="005472E0"/>
    <w:rsid w:val="005478F3"/>
    <w:rsid w:val="00547A97"/>
    <w:rsid w:val="00547F9C"/>
    <w:rsid w:val="005502B0"/>
    <w:rsid w:val="005506F8"/>
    <w:rsid w:val="00550C17"/>
    <w:rsid w:val="005510DF"/>
    <w:rsid w:val="005513AE"/>
    <w:rsid w:val="0055148E"/>
    <w:rsid w:val="00551667"/>
    <w:rsid w:val="00551C38"/>
    <w:rsid w:val="00551E68"/>
    <w:rsid w:val="00552292"/>
    <w:rsid w:val="00552925"/>
    <w:rsid w:val="005529A1"/>
    <w:rsid w:val="00552C5D"/>
    <w:rsid w:val="00552E7E"/>
    <w:rsid w:val="00552E9E"/>
    <w:rsid w:val="005532D6"/>
    <w:rsid w:val="0055347E"/>
    <w:rsid w:val="0055352A"/>
    <w:rsid w:val="00553607"/>
    <w:rsid w:val="00553FBB"/>
    <w:rsid w:val="005541B1"/>
    <w:rsid w:val="00554275"/>
    <w:rsid w:val="0055438D"/>
    <w:rsid w:val="00554474"/>
    <w:rsid w:val="005544B7"/>
    <w:rsid w:val="0055464C"/>
    <w:rsid w:val="00554C4C"/>
    <w:rsid w:val="005557B0"/>
    <w:rsid w:val="00555831"/>
    <w:rsid w:val="005559DB"/>
    <w:rsid w:val="00555B54"/>
    <w:rsid w:val="00555C22"/>
    <w:rsid w:val="00555E11"/>
    <w:rsid w:val="00555F77"/>
    <w:rsid w:val="0055642E"/>
    <w:rsid w:val="00556A09"/>
    <w:rsid w:val="00556AA2"/>
    <w:rsid w:val="00556AE8"/>
    <w:rsid w:val="00556EE9"/>
    <w:rsid w:val="00556EF6"/>
    <w:rsid w:val="005573E6"/>
    <w:rsid w:val="00557738"/>
    <w:rsid w:val="00557B0C"/>
    <w:rsid w:val="005611FB"/>
    <w:rsid w:val="005617AB"/>
    <w:rsid w:val="005621E3"/>
    <w:rsid w:val="00562BB4"/>
    <w:rsid w:val="005633DA"/>
    <w:rsid w:val="0056354B"/>
    <w:rsid w:val="005636AB"/>
    <w:rsid w:val="0056426C"/>
    <w:rsid w:val="005646BE"/>
    <w:rsid w:val="00565050"/>
    <w:rsid w:val="005653FB"/>
    <w:rsid w:val="005655CB"/>
    <w:rsid w:val="0056584A"/>
    <w:rsid w:val="005658A5"/>
    <w:rsid w:val="00565BC8"/>
    <w:rsid w:val="00565D2B"/>
    <w:rsid w:val="005660CA"/>
    <w:rsid w:val="0056647F"/>
    <w:rsid w:val="00566541"/>
    <w:rsid w:val="00566ABC"/>
    <w:rsid w:val="00566B95"/>
    <w:rsid w:val="00566DE0"/>
    <w:rsid w:val="00566E2D"/>
    <w:rsid w:val="00566EC9"/>
    <w:rsid w:val="005671FC"/>
    <w:rsid w:val="0056755D"/>
    <w:rsid w:val="00567A8C"/>
    <w:rsid w:val="00567BCF"/>
    <w:rsid w:val="00567CD3"/>
    <w:rsid w:val="00567D6A"/>
    <w:rsid w:val="00567E32"/>
    <w:rsid w:val="00567F53"/>
    <w:rsid w:val="00570326"/>
    <w:rsid w:val="00570571"/>
    <w:rsid w:val="00570D88"/>
    <w:rsid w:val="00570F16"/>
    <w:rsid w:val="00570F50"/>
    <w:rsid w:val="00571195"/>
    <w:rsid w:val="0057136E"/>
    <w:rsid w:val="0057142E"/>
    <w:rsid w:val="005715ED"/>
    <w:rsid w:val="0057180C"/>
    <w:rsid w:val="00572090"/>
    <w:rsid w:val="005722BD"/>
    <w:rsid w:val="0057281C"/>
    <w:rsid w:val="00572928"/>
    <w:rsid w:val="00572CFD"/>
    <w:rsid w:val="00572DC4"/>
    <w:rsid w:val="00572DD9"/>
    <w:rsid w:val="00573069"/>
    <w:rsid w:val="00573071"/>
    <w:rsid w:val="00573160"/>
    <w:rsid w:val="00573A4F"/>
    <w:rsid w:val="00573B05"/>
    <w:rsid w:val="00573FF7"/>
    <w:rsid w:val="00574011"/>
    <w:rsid w:val="00574836"/>
    <w:rsid w:val="005748BD"/>
    <w:rsid w:val="00574968"/>
    <w:rsid w:val="00574B49"/>
    <w:rsid w:val="00574E7E"/>
    <w:rsid w:val="0057520E"/>
    <w:rsid w:val="00575219"/>
    <w:rsid w:val="00575504"/>
    <w:rsid w:val="0057586B"/>
    <w:rsid w:val="00575E14"/>
    <w:rsid w:val="00575E50"/>
    <w:rsid w:val="00576087"/>
    <w:rsid w:val="00576243"/>
    <w:rsid w:val="00576586"/>
    <w:rsid w:val="005766F6"/>
    <w:rsid w:val="0057677A"/>
    <w:rsid w:val="00576A29"/>
    <w:rsid w:val="00576D3C"/>
    <w:rsid w:val="005771D7"/>
    <w:rsid w:val="005773E6"/>
    <w:rsid w:val="005776C3"/>
    <w:rsid w:val="0057777B"/>
    <w:rsid w:val="00577E30"/>
    <w:rsid w:val="00577E4E"/>
    <w:rsid w:val="005801AB"/>
    <w:rsid w:val="005801DA"/>
    <w:rsid w:val="00580334"/>
    <w:rsid w:val="00580D84"/>
    <w:rsid w:val="005810A9"/>
    <w:rsid w:val="00581ACD"/>
    <w:rsid w:val="005822C6"/>
    <w:rsid w:val="005829DD"/>
    <w:rsid w:val="00582A42"/>
    <w:rsid w:val="00582AB4"/>
    <w:rsid w:val="00582C0C"/>
    <w:rsid w:val="00582D79"/>
    <w:rsid w:val="00582E89"/>
    <w:rsid w:val="00583841"/>
    <w:rsid w:val="0058476C"/>
    <w:rsid w:val="00584959"/>
    <w:rsid w:val="00584BE4"/>
    <w:rsid w:val="00584C80"/>
    <w:rsid w:val="005861DF"/>
    <w:rsid w:val="00586FF6"/>
    <w:rsid w:val="0058705E"/>
    <w:rsid w:val="005874E5"/>
    <w:rsid w:val="00587984"/>
    <w:rsid w:val="00590032"/>
    <w:rsid w:val="005902B5"/>
    <w:rsid w:val="005906EE"/>
    <w:rsid w:val="00590AA6"/>
    <w:rsid w:val="00590B9A"/>
    <w:rsid w:val="0059172E"/>
    <w:rsid w:val="00591E84"/>
    <w:rsid w:val="005922C0"/>
    <w:rsid w:val="005925DC"/>
    <w:rsid w:val="00593183"/>
    <w:rsid w:val="0059347E"/>
    <w:rsid w:val="0059393C"/>
    <w:rsid w:val="00593E54"/>
    <w:rsid w:val="00593F07"/>
    <w:rsid w:val="00594502"/>
    <w:rsid w:val="005946DA"/>
    <w:rsid w:val="00594B6E"/>
    <w:rsid w:val="00595119"/>
    <w:rsid w:val="005956DF"/>
    <w:rsid w:val="005956EE"/>
    <w:rsid w:val="00595701"/>
    <w:rsid w:val="00595ABF"/>
    <w:rsid w:val="00595BB6"/>
    <w:rsid w:val="00595CB8"/>
    <w:rsid w:val="00595F89"/>
    <w:rsid w:val="00596102"/>
    <w:rsid w:val="0059613D"/>
    <w:rsid w:val="00596239"/>
    <w:rsid w:val="00596559"/>
    <w:rsid w:val="0059667A"/>
    <w:rsid w:val="00596715"/>
    <w:rsid w:val="005969A3"/>
    <w:rsid w:val="00597076"/>
    <w:rsid w:val="00597123"/>
    <w:rsid w:val="0059729F"/>
    <w:rsid w:val="00597373"/>
    <w:rsid w:val="005974D7"/>
    <w:rsid w:val="005974E3"/>
    <w:rsid w:val="0059782E"/>
    <w:rsid w:val="00597AF9"/>
    <w:rsid w:val="00597D52"/>
    <w:rsid w:val="005A01B9"/>
    <w:rsid w:val="005A0665"/>
    <w:rsid w:val="005A06C0"/>
    <w:rsid w:val="005A0872"/>
    <w:rsid w:val="005A0A6D"/>
    <w:rsid w:val="005A139B"/>
    <w:rsid w:val="005A13E3"/>
    <w:rsid w:val="005A1EA3"/>
    <w:rsid w:val="005A2014"/>
    <w:rsid w:val="005A2136"/>
    <w:rsid w:val="005A23C9"/>
    <w:rsid w:val="005A30A3"/>
    <w:rsid w:val="005A33A2"/>
    <w:rsid w:val="005A3548"/>
    <w:rsid w:val="005A35EC"/>
    <w:rsid w:val="005A3696"/>
    <w:rsid w:val="005A37AC"/>
    <w:rsid w:val="005A3A16"/>
    <w:rsid w:val="005A3E29"/>
    <w:rsid w:val="005A3FD3"/>
    <w:rsid w:val="005A4150"/>
    <w:rsid w:val="005A49A8"/>
    <w:rsid w:val="005A4BA6"/>
    <w:rsid w:val="005A514A"/>
    <w:rsid w:val="005A54D2"/>
    <w:rsid w:val="005A56B9"/>
    <w:rsid w:val="005A587B"/>
    <w:rsid w:val="005A5B45"/>
    <w:rsid w:val="005A6230"/>
    <w:rsid w:val="005A6286"/>
    <w:rsid w:val="005A64C2"/>
    <w:rsid w:val="005A6796"/>
    <w:rsid w:val="005A6FAE"/>
    <w:rsid w:val="005A744D"/>
    <w:rsid w:val="005A75B7"/>
    <w:rsid w:val="005A78BC"/>
    <w:rsid w:val="005A79CD"/>
    <w:rsid w:val="005A7A7F"/>
    <w:rsid w:val="005A7A85"/>
    <w:rsid w:val="005A7BFF"/>
    <w:rsid w:val="005A7D07"/>
    <w:rsid w:val="005A7EE1"/>
    <w:rsid w:val="005A7F9F"/>
    <w:rsid w:val="005B0929"/>
    <w:rsid w:val="005B0A1A"/>
    <w:rsid w:val="005B0A7F"/>
    <w:rsid w:val="005B0F77"/>
    <w:rsid w:val="005B1119"/>
    <w:rsid w:val="005B139A"/>
    <w:rsid w:val="005B1477"/>
    <w:rsid w:val="005B14EB"/>
    <w:rsid w:val="005B1725"/>
    <w:rsid w:val="005B19DA"/>
    <w:rsid w:val="005B1EAE"/>
    <w:rsid w:val="005B1FB0"/>
    <w:rsid w:val="005B246F"/>
    <w:rsid w:val="005B2A09"/>
    <w:rsid w:val="005B2B97"/>
    <w:rsid w:val="005B2DA8"/>
    <w:rsid w:val="005B32F1"/>
    <w:rsid w:val="005B381F"/>
    <w:rsid w:val="005B396C"/>
    <w:rsid w:val="005B39E7"/>
    <w:rsid w:val="005B3C5E"/>
    <w:rsid w:val="005B3E70"/>
    <w:rsid w:val="005B3EA8"/>
    <w:rsid w:val="005B405F"/>
    <w:rsid w:val="005B494D"/>
    <w:rsid w:val="005B51BE"/>
    <w:rsid w:val="005B588C"/>
    <w:rsid w:val="005B5A64"/>
    <w:rsid w:val="005B5DCB"/>
    <w:rsid w:val="005B5EB4"/>
    <w:rsid w:val="005B62AB"/>
    <w:rsid w:val="005B6AF9"/>
    <w:rsid w:val="005B6F2D"/>
    <w:rsid w:val="005B79EA"/>
    <w:rsid w:val="005B7B73"/>
    <w:rsid w:val="005B7E18"/>
    <w:rsid w:val="005C0880"/>
    <w:rsid w:val="005C08AF"/>
    <w:rsid w:val="005C0945"/>
    <w:rsid w:val="005C0954"/>
    <w:rsid w:val="005C0D7C"/>
    <w:rsid w:val="005C0F3B"/>
    <w:rsid w:val="005C10D5"/>
    <w:rsid w:val="005C1534"/>
    <w:rsid w:val="005C19D1"/>
    <w:rsid w:val="005C1CF1"/>
    <w:rsid w:val="005C261D"/>
    <w:rsid w:val="005C27C7"/>
    <w:rsid w:val="005C2961"/>
    <w:rsid w:val="005C2A42"/>
    <w:rsid w:val="005C3294"/>
    <w:rsid w:val="005C33A1"/>
    <w:rsid w:val="005C3472"/>
    <w:rsid w:val="005C3528"/>
    <w:rsid w:val="005C3613"/>
    <w:rsid w:val="005C39F9"/>
    <w:rsid w:val="005C3B39"/>
    <w:rsid w:val="005C3BDA"/>
    <w:rsid w:val="005C3F76"/>
    <w:rsid w:val="005C43D2"/>
    <w:rsid w:val="005C50D5"/>
    <w:rsid w:val="005C519B"/>
    <w:rsid w:val="005C53AD"/>
    <w:rsid w:val="005C5604"/>
    <w:rsid w:val="005C571C"/>
    <w:rsid w:val="005C5A03"/>
    <w:rsid w:val="005C5A68"/>
    <w:rsid w:val="005C5E83"/>
    <w:rsid w:val="005C6057"/>
    <w:rsid w:val="005C648A"/>
    <w:rsid w:val="005C7291"/>
    <w:rsid w:val="005D0342"/>
    <w:rsid w:val="005D0A9B"/>
    <w:rsid w:val="005D0AF7"/>
    <w:rsid w:val="005D12A5"/>
    <w:rsid w:val="005D131F"/>
    <w:rsid w:val="005D1604"/>
    <w:rsid w:val="005D228B"/>
    <w:rsid w:val="005D2668"/>
    <w:rsid w:val="005D2B2D"/>
    <w:rsid w:val="005D2D4B"/>
    <w:rsid w:val="005D2DF3"/>
    <w:rsid w:val="005D2EAD"/>
    <w:rsid w:val="005D36AB"/>
    <w:rsid w:val="005D37AF"/>
    <w:rsid w:val="005D3B4B"/>
    <w:rsid w:val="005D445E"/>
    <w:rsid w:val="005D4E53"/>
    <w:rsid w:val="005D5927"/>
    <w:rsid w:val="005D592B"/>
    <w:rsid w:val="005D5B70"/>
    <w:rsid w:val="005D6217"/>
    <w:rsid w:val="005D639A"/>
    <w:rsid w:val="005D68C1"/>
    <w:rsid w:val="005D6AC2"/>
    <w:rsid w:val="005D7240"/>
    <w:rsid w:val="005D73D1"/>
    <w:rsid w:val="005D796C"/>
    <w:rsid w:val="005D7B76"/>
    <w:rsid w:val="005E047A"/>
    <w:rsid w:val="005E0835"/>
    <w:rsid w:val="005E088A"/>
    <w:rsid w:val="005E093A"/>
    <w:rsid w:val="005E0DB3"/>
    <w:rsid w:val="005E10D0"/>
    <w:rsid w:val="005E1156"/>
    <w:rsid w:val="005E1258"/>
    <w:rsid w:val="005E182D"/>
    <w:rsid w:val="005E1E21"/>
    <w:rsid w:val="005E2069"/>
    <w:rsid w:val="005E21B3"/>
    <w:rsid w:val="005E2288"/>
    <w:rsid w:val="005E2A7A"/>
    <w:rsid w:val="005E2E6E"/>
    <w:rsid w:val="005E2EF4"/>
    <w:rsid w:val="005E3064"/>
    <w:rsid w:val="005E3416"/>
    <w:rsid w:val="005E36A8"/>
    <w:rsid w:val="005E384A"/>
    <w:rsid w:val="005E3E05"/>
    <w:rsid w:val="005E3E2F"/>
    <w:rsid w:val="005E4074"/>
    <w:rsid w:val="005E40BC"/>
    <w:rsid w:val="005E46D1"/>
    <w:rsid w:val="005E4780"/>
    <w:rsid w:val="005E47B3"/>
    <w:rsid w:val="005E494C"/>
    <w:rsid w:val="005E4C9A"/>
    <w:rsid w:val="005E4F73"/>
    <w:rsid w:val="005E4FB3"/>
    <w:rsid w:val="005E51DB"/>
    <w:rsid w:val="005E5286"/>
    <w:rsid w:val="005E532C"/>
    <w:rsid w:val="005E56CD"/>
    <w:rsid w:val="005E5C9B"/>
    <w:rsid w:val="005E5E75"/>
    <w:rsid w:val="005E61DF"/>
    <w:rsid w:val="005E68B5"/>
    <w:rsid w:val="005E6C79"/>
    <w:rsid w:val="005E73A7"/>
    <w:rsid w:val="005E7522"/>
    <w:rsid w:val="005E76DF"/>
    <w:rsid w:val="005E7776"/>
    <w:rsid w:val="005E7799"/>
    <w:rsid w:val="005E7CFE"/>
    <w:rsid w:val="005F019A"/>
    <w:rsid w:val="005F0200"/>
    <w:rsid w:val="005F0356"/>
    <w:rsid w:val="005F072B"/>
    <w:rsid w:val="005F077D"/>
    <w:rsid w:val="005F079B"/>
    <w:rsid w:val="005F0949"/>
    <w:rsid w:val="005F0FD7"/>
    <w:rsid w:val="005F1080"/>
    <w:rsid w:val="005F1495"/>
    <w:rsid w:val="005F2160"/>
    <w:rsid w:val="005F2213"/>
    <w:rsid w:val="005F22EB"/>
    <w:rsid w:val="005F26A6"/>
    <w:rsid w:val="005F28F9"/>
    <w:rsid w:val="005F2910"/>
    <w:rsid w:val="005F2E9C"/>
    <w:rsid w:val="005F2F22"/>
    <w:rsid w:val="005F30CB"/>
    <w:rsid w:val="005F31EA"/>
    <w:rsid w:val="005F38DF"/>
    <w:rsid w:val="005F3CEA"/>
    <w:rsid w:val="005F4195"/>
    <w:rsid w:val="005F436A"/>
    <w:rsid w:val="005F4626"/>
    <w:rsid w:val="005F47AE"/>
    <w:rsid w:val="005F55BD"/>
    <w:rsid w:val="005F5800"/>
    <w:rsid w:val="005F5DA9"/>
    <w:rsid w:val="005F635A"/>
    <w:rsid w:val="005F6715"/>
    <w:rsid w:val="005F68BE"/>
    <w:rsid w:val="005F69FA"/>
    <w:rsid w:val="005F6A45"/>
    <w:rsid w:val="005F6B1E"/>
    <w:rsid w:val="005F769C"/>
    <w:rsid w:val="005F789B"/>
    <w:rsid w:val="005F7AB8"/>
    <w:rsid w:val="005F7B3A"/>
    <w:rsid w:val="005F7D89"/>
    <w:rsid w:val="005F7F24"/>
    <w:rsid w:val="005F7F4C"/>
    <w:rsid w:val="005F7FDA"/>
    <w:rsid w:val="006007AA"/>
    <w:rsid w:val="00600DA6"/>
    <w:rsid w:val="006010FB"/>
    <w:rsid w:val="0060115E"/>
    <w:rsid w:val="0060116C"/>
    <w:rsid w:val="006012DF"/>
    <w:rsid w:val="006013C7"/>
    <w:rsid w:val="006017FF"/>
    <w:rsid w:val="00601A53"/>
    <w:rsid w:val="00601B8D"/>
    <w:rsid w:val="00601F19"/>
    <w:rsid w:val="00602055"/>
    <w:rsid w:val="00602778"/>
    <w:rsid w:val="0060309F"/>
    <w:rsid w:val="00603490"/>
    <w:rsid w:val="00603896"/>
    <w:rsid w:val="00603D9B"/>
    <w:rsid w:val="00603F41"/>
    <w:rsid w:val="0060400B"/>
    <w:rsid w:val="00604087"/>
    <w:rsid w:val="006043D9"/>
    <w:rsid w:val="006044DF"/>
    <w:rsid w:val="0060465E"/>
    <w:rsid w:val="00605035"/>
    <w:rsid w:val="00605183"/>
    <w:rsid w:val="00605537"/>
    <w:rsid w:val="00605655"/>
    <w:rsid w:val="00605794"/>
    <w:rsid w:val="00605B91"/>
    <w:rsid w:val="00605DD6"/>
    <w:rsid w:val="00606000"/>
    <w:rsid w:val="00606321"/>
    <w:rsid w:val="006063F8"/>
    <w:rsid w:val="00606629"/>
    <w:rsid w:val="006067BB"/>
    <w:rsid w:val="00606819"/>
    <w:rsid w:val="00606A30"/>
    <w:rsid w:val="00606FE8"/>
    <w:rsid w:val="00607116"/>
    <w:rsid w:val="00607350"/>
    <w:rsid w:val="006077FC"/>
    <w:rsid w:val="00607963"/>
    <w:rsid w:val="00607BC0"/>
    <w:rsid w:val="00607D00"/>
    <w:rsid w:val="00607DE3"/>
    <w:rsid w:val="00607E91"/>
    <w:rsid w:val="00607F75"/>
    <w:rsid w:val="006103B0"/>
    <w:rsid w:val="006103E2"/>
    <w:rsid w:val="0061040A"/>
    <w:rsid w:val="006106FE"/>
    <w:rsid w:val="00610969"/>
    <w:rsid w:val="00610AFD"/>
    <w:rsid w:val="00610B68"/>
    <w:rsid w:val="006111A6"/>
    <w:rsid w:val="006113AA"/>
    <w:rsid w:val="006114D3"/>
    <w:rsid w:val="0061160B"/>
    <w:rsid w:val="0061187B"/>
    <w:rsid w:val="006118BE"/>
    <w:rsid w:val="00611B49"/>
    <w:rsid w:val="00611F63"/>
    <w:rsid w:val="00611FA3"/>
    <w:rsid w:val="006120E5"/>
    <w:rsid w:val="006124B3"/>
    <w:rsid w:val="00612517"/>
    <w:rsid w:val="00612632"/>
    <w:rsid w:val="00612A83"/>
    <w:rsid w:val="00612ADE"/>
    <w:rsid w:val="00612E82"/>
    <w:rsid w:val="006134C7"/>
    <w:rsid w:val="006137EF"/>
    <w:rsid w:val="0061396E"/>
    <w:rsid w:val="00614091"/>
    <w:rsid w:val="006140E3"/>
    <w:rsid w:val="0061454C"/>
    <w:rsid w:val="00614810"/>
    <w:rsid w:val="00614857"/>
    <w:rsid w:val="00614D91"/>
    <w:rsid w:val="00614DC2"/>
    <w:rsid w:val="00614F8A"/>
    <w:rsid w:val="006151F6"/>
    <w:rsid w:val="00615206"/>
    <w:rsid w:val="00615BFA"/>
    <w:rsid w:val="00615EE2"/>
    <w:rsid w:val="00616330"/>
    <w:rsid w:val="00616456"/>
    <w:rsid w:val="00616636"/>
    <w:rsid w:val="006166EC"/>
    <w:rsid w:val="006168DD"/>
    <w:rsid w:val="00616F09"/>
    <w:rsid w:val="00617112"/>
    <w:rsid w:val="00617118"/>
    <w:rsid w:val="00617217"/>
    <w:rsid w:val="006175FE"/>
    <w:rsid w:val="006178F8"/>
    <w:rsid w:val="00617C4B"/>
    <w:rsid w:val="00617CCD"/>
    <w:rsid w:val="0062002D"/>
    <w:rsid w:val="00620319"/>
    <w:rsid w:val="0062048A"/>
    <w:rsid w:val="006208C8"/>
    <w:rsid w:val="00620932"/>
    <w:rsid w:val="00620B55"/>
    <w:rsid w:val="00620E78"/>
    <w:rsid w:val="00620F71"/>
    <w:rsid w:val="00621119"/>
    <w:rsid w:val="0062115A"/>
    <w:rsid w:val="00621183"/>
    <w:rsid w:val="00621406"/>
    <w:rsid w:val="0062151F"/>
    <w:rsid w:val="006216F6"/>
    <w:rsid w:val="006217AB"/>
    <w:rsid w:val="00621925"/>
    <w:rsid w:val="00621C46"/>
    <w:rsid w:val="00622053"/>
    <w:rsid w:val="006224F8"/>
    <w:rsid w:val="006225BD"/>
    <w:rsid w:val="006228A6"/>
    <w:rsid w:val="006228DA"/>
    <w:rsid w:val="00622CBD"/>
    <w:rsid w:val="00622CF7"/>
    <w:rsid w:val="00622DEE"/>
    <w:rsid w:val="00622F82"/>
    <w:rsid w:val="0062318F"/>
    <w:rsid w:val="0062319D"/>
    <w:rsid w:val="00623597"/>
    <w:rsid w:val="00623B2E"/>
    <w:rsid w:val="00623B58"/>
    <w:rsid w:val="00624407"/>
    <w:rsid w:val="006245E5"/>
    <w:rsid w:val="006249C5"/>
    <w:rsid w:val="00624B8B"/>
    <w:rsid w:val="00624D5A"/>
    <w:rsid w:val="0062504E"/>
    <w:rsid w:val="00625360"/>
    <w:rsid w:val="006256CA"/>
    <w:rsid w:val="006256FD"/>
    <w:rsid w:val="00625F5B"/>
    <w:rsid w:val="0062642C"/>
    <w:rsid w:val="00626446"/>
    <w:rsid w:val="00626469"/>
    <w:rsid w:val="00626541"/>
    <w:rsid w:val="00626690"/>
    <w:rsid w:val="00626730"/>
    <w:rsid w:val="00626798"/>
    <w:rsid w:val="00626FE3"/>
    <w:rsid w:val="0062759D"/>
    <w:rsid w:val="00627C66"/>
    <w:rsid w:val="00627C9C"/>
    <w:rsid w:val="00627ED1"/>
    <w:rsid w:val="00627F05"/>
    <w:rsid w:val="00627F5D"/>
    <w:rsid w:val="00627FEA"/>
    <w:rsid w:val="0063025A"/>
    <w:rsid w:val="0063028F"/>
    <w:rsid w:val="006304D2"/>
    <w:rsid w:val="0063067B"/>
    <w:rsid w:val="006307B0"/>
    <w:rsid w:val="006307ED"/>
    <w:rsid w:val="00630833"/>
    <w:rsid w:val="00630BC0"/>
    <w:rsid w:val="00630E6D"/>
    <w:rsid w:val="006319C0"/>
    <w:rsid w:val="00631D39"/>
    <w:rsid w:val="00631DCB"/>
    <w:rsid w:val="00631E12"/>
    <w:rsid w:val="00631E37"/>
    <w:rsid w:val="00632C2C"/>
    <w:rsid w:val="00632E18"/>
    <w:rsid w:val="00632EA4"/>
    <w:rsid w:val="00633074"/>
    <w:rsid w:val="00633225"/>
    <w:rsid w:val="006332D1"/>
    <w:rsid w:val="00633F43"/>
    <w:rsid w:val="006341A4"/>
    <w:rsid w:val="006343D2"/>
    <w:rsid w:val="006346DF"/>
    <w:rsid w:val="0063475E"/>
    <w:rsid w:val="00634879"/>
    <w:rsid w:val="00634965"/>
    <w:rsid w:val="00634C53"/>
    <w:rsid w:val="0063564F"/>
    <w:rsid w:val="0063598A"/>
    <w:rsid w:val="00635AC6"/>
    <w:rsid w:val="00635CBA"/>
    <w:rsid w:val="00635F4E"/>
    <w:rsid w:val="006365C2"/>
    <w:rsid w:val="00636609"/>
    <w:rsid w:val="00636A46"/>
    <w:rsid w:val="00636C53"/>
    <w:rsid w:val="00636CA9"/>
    <w:rsid w:val="00636CE9"/>
    <w:rsid w:val="00636EF0"/>
    <w:rsid w:val="0063719C"/>
    <w:rsid w:val="00637790"/>
    <w:rsid w:val="00637855"/>
    <w:rsid w:val="00637CBD"/>
    <w:rsid w:val="00637DE3"/>
    <w:rsid w:val="006400F8"/>
    <w:rsid w:val="00640242"/>
    <w:rsid w:val="0064033F"/>
    <w:rsid w:val="00640396"/>
    <w:rsid w:val="00640480"/>
    <w:rsid w:val="00640E2E"/>
    <w:rsid w:val="00640F25"/>
    <w:rsid w:val="00640FD2"/>
    <w:rsid w:val="006418DB"/>
    <w:rsid w:val="00641D0A"/>
    <w:rsid w:val="00641F04"/>
    <w:rsid w:val="00641F08"/>
    <w:rsid w:val="00642282"/>
    <w:rsid w:val="00642AA8"/>
    <w:rsid w:val="00642B2C"/>
    <w:rsid w:val="006432E9"/>
    <w:rsid w:val="0064338C"/>
    <w:rsid w:val="00643B74"/>
    <w:rsid w:val="00643CCB"/>
    <w:rsid w:val="0064562E"/>
    <w:rsid w:val="00645F9E"/>
    <w:rsid w:val="00646070"/>
    <w:rsid w:val="0064628A"/>
    <w:rsid w:val="00646609"/>
    <w:rsid w:val="0064670D"/>
    <w:rsid w:val="00646F4B"/>
    <w:rsid w:val="006473C5"/>
    <w:rsid w:val="0064783D"/>
    <w:rsid w:val="00650395"/>
    <w:rsid w:val="00650593"/>
    <w:rsid w:val="00650630"/>
    <w:rsid w:val="00650A2F"/>
    <w:rsid w:val="00650AE5"/>
    <w:rsid w:val="00650E95"/>
    <w:rsid w:val="00650F94"/>
    <w:rsid w:val="00650FDC"/>
    <w:rsid w:val="0065116F"/>
    <w:rsid w:val="00651BE0"/>
    <w:rsid w:val="00651C6E"/>
    <w:rsid w:val="00652286"/>
    <w:rsid w:val="006523CD"/>
    <w:rsid w:val="00652543"/>
    <w:rsid w:val="00652740"/>
    <w:rsid w:val="006532CD"/>
    <w:rsid w:val="00653398"/>
    <w:rsid w:val="0065339F"/>
    <w:rsid w:val="006533F8"/>
    <w:rsid w:val="00653A73"/>
    <w:rsid w:val="00653F4E"/>
    <w:rsid w:val="0065418F"/>
    <w:rsid w:val="0065436C"/>
    <w:rsid w:val="00654C0E"/>
    <w:rsid w:val="00654CC5"/>
    <w:rsid w:val="00654E5D"/>
    <w:rsid w:val="00654FA1"/>
    <w:rsid w:val="0065525D"/>
    <w:rsid w:val="00655357"/>
    <w:rsid w:val="00655A14"/>
    <w:rsid w:val="00655ABB"/>
    <w:rsid w:val="00655E74"/>
    <w:rsid w:val="00656688"/>
    <w:rsid w:val="006567B1"/>
    <w:rsid w:val="006567BF"/>
    <w:rsid w:val="00656EC9"/>
    <w:rsid w:val="00657411"/>
    <w:rsid w:val="0065762B"/>
    <w:rsid w:val="00657AFE"/>
    <w:rsid w:val="00657B26"/>
    <w:rsid w:val="00657C6D"/>
    <w:rsid w:val="00657CCE"/>
    <w:rsid w:val="006605FD"/>
    <w:rsid w:val="0066083F"/>
    <w:rsid w:val="006608AF"/>
    <w:rsid w:val="00660C8C"/>
    <w:rsid w:val="00660E31"/>
    <w:rsid w:val="00660EAC"/>
    <w:rsid w:val="00660FD7"/>
    <w:rsid w:val="006614D0"/>
    <w:rsid w:val="00661832"/>
    <w:rsid w:val="00661A9B"/>
    <w:rsid w:val="00661DC7"/>
    <w:rsid w:val="00661EA1"/>
    <w:rsid w:val="006623DA"/>
    <w:rsid w:val="0066245B"/>
    <w:rsid w:val="00662CDF"/>
    <w:rsid w:val="00662E81"/>
    <w:rsid w:val="00663297"/>
    <w:rsid w:val="006633B2"/>
    <w:rsid w:val="00663CAC"/>
    <w:rsid w:val="00663FB2"/>
    <w:rsid w:val="0066430A"/>
    <w:rsid w:val="006643D5"/>
    <w:rsid w:val="00664A33"/>
    <w:rsid w:val="00664AF6"/>
    <w:rsid w:val="00664D11"/>
    <w:rsid w:val="00664ED9"/>
    <w:rsid w:val="006653E6"/>
    <w:rsid w:val="00665556"/>
    <w:rsid w:val="00665701"/>
    <w:rsid w:val="00665A78"/>
    <w:rsid w:val="00665BD0"/>
    <w:rsid w:val="006661AA"/>
    <w:rsid w:val="00666291"/>
    <w:rsid w:val="006665C9"/>
    <w:rsid w:val="00666643"/>
    <w:rsid w:val="00666AB3"/>
    <w:rsid w:val="0066706B"/>
    <w:rsid w:val="0066728A"/>
    <w:rsid w:val="006673C9"/>
    <w:rsid w:val="00667623"/>
    <w:rsid w:val="006678F4"/>
    <w:rsid w:val="00667A8F"/>
    <w:rsid w:val="00670123"/>
    <w:rsid w:val="00670362"/>
    <w:rsid w:val="00671125"/>
    <w:rsid w:val="0067165C"/>
    <w:rsid w:val="00671889"/>
    <w:rsid w:val="00671DCC"/>
    <w:rsid w:val="00671EB6"/>
    <w:rsid w:val="00672890"/>
    <w:rsid w:val="00672D57"/>
    <w:rsid w:val="00672F9A"/>
    <w:rsid w:val="00673257"/>
    <w:rsid w:val="0067345F"/>
    <w:rsid w:val="00673591"/>
    <w:rsid w:val="006737AC"/>
    <w:rsid w:val="00673D8C"/>
    <w:rsid w:val="006740BB"/>
    <w:rsid w:val="00674804"/>
    <w:rsid w:val="00674983"/>
    <w:rsid w:val="006749A0"/>
    <w:rsid w:val="00674ACC"/>
    <w:rsid w:val="00675066"/>
    <w:rsid w:val="00675242"/>
    <w:rsid w:val="00675254"/>
    <w:rsid w:val="00675310"/>
    <w:rsid w:val="006761F5"/>
    <w:rsid w:val="00676257"/>
    <w:rsid w:val="0067635D"/>
    <w:rsid w:val="0067646D"/>
    <w:rsid w:val="006766F1"/>
    <w:rsid w:val="00676E48"/>
    <w:rsid w:val="00676EDC"/>
    <w:rsid w:val="0067711F"/>
    <w:rsid w:val="006773BC"/>
    <w:rsid w:val="00677C8E"/>
    <w:rsid w:val="00680028"/>
    <w:rsid w:val="00680103"/>
    <w:rsid w:val="006803C8"/>
    <w:rsid w:val="0068094D"/>
    <w:rsid w:val="00680A3F"/>
    <w:rsid w:val="00680FF3"/>
    <w:rsid w:val="00681AF4"/>
    <w:rsid w:val="00681B66"/>
    <w:rsid w:val="00681ECD"/>
    <w:rsid w:val="0068215B"/>
    <w:rsid w:val="00682206"/>
    <w:rsid w:val="006824FE"/>
    <w:rsid w:val="00682DA4"/>
    <w:rsid w:val="00682FF0"/>
    <w:rsid w:val="00683317"/>
    <w:rsid w:val="006834B6"/>
    <w:rsid w:val="00683CA1"/>
    <w:rsid w:val="00684316"/>
    <w:rsid w:val="00684359"/>
    <w:rsid w:val="006846FF"/>
    <w:rsid w:val="0068472C"/>
    <w:rsid w:val="006849D4"/>
    <w:rsid w:val="00684A61"/>
    <w:rsid w:val="00684D24"/>
    <w:rsid w:val="00685678"/>
    <w:rsid w:val="006858E9"/>
    <w:rsid w:val="00685D12"/>
    <w:rsid w:val="00685D23"/>
    <w:rsid w:val="00686072"/>
    <w:rsid w:val="006867ED"/>
    <w:rsid w:val="00686F0B"/>
    <w:rsid w:val="0068709F"/>
    <w:rsid w:val="0068710F"/>
    <w:rsid w:val="006871C6"/>
    <w:rsid w:val="00687551"/>
    <w:rsid w:val="00687988"/>
    <w:rsid w:val="006879B1"/>
    <w:rsid w:val="006900B5"/>
    <w:rsid w:val="0069023A"/>
    <w:rsid w:val="00690456"/>
    <w:rsid w:val="00690601"/>
    <w:rsid w:val="006907CF"/>
    <w:rsid w:val="0069098E"/>
    <w:rsid w:val="006910BC"/>
    <w:rsid w:val="00691154"/>
    <w:rsid w:val="00691356"/>
    <w:rsid w:val="00691B1A"/>
    <w:rsid w:val="00691E0C"/>
    <w:rsid w:val="006927DB"/>
    <w:rsid w:val="006927E9"/>
    <w:rsid w:val="00692D79"/>
    <w:rsid w:val="00693009"/>
    <w:rsid w:val="00693540"/>
    <w:rsid w:val="00693812"/>
    <w:rsid w:val="0069423D"/>
    <w:rsid w:val="00694334"/>
    <w:rsid w:val="0069438D"/>
    <w:rsid w:val="006943B5"/>
    <w:rsid w:val="0069441E"/>
    <w:rsid w:val="006944E5"/>
    <w:rsid w:val="006946FF"/>
    <w:rsid w:val="00694813"/>
    <w:rsid w:val="00694816"/>
    <w:rsid w:val="00694F47"/>
    <w:rsid w:val="00694FCA"/>
    <w:rsid w:val="00695007"/>
    <w:rsid w:val="00695253"/>
    <w:rsid w:val="006953A0"/>
    <w:rsid w:val="00695925"/>
    <w:rsid w:val="00695FAB"/>
    <w:rsid w:val="00696A0A"/>
    <w:rsid w:val="006970A1"/>
    <w:rsid w:val="0069724B"/>
    <w:rsid w:val="006973DA"/>
    <w:rsid w:val="006975FC"/>
    <w:rsid w:val="00697688"/>
    <w:rsid w:val="006979FE"/>
    <w:rsid w:val="00697B2E"/>
    <w:rsid w:val="00697CF0"/>
    <w:rsid w:val="00697F41"/>
    <w:rsid w:val="006A0617"/>
    <w:rsid w:val="006A1319"/>
    <w:rsid w:val="006A1652"/>
    <w:rsid w:val="006A16C9"/>
    <w:rsid w:val="006A1D8E"/>
    <w:rsid w:val="006A206F"/>
    <w:rsid w:val="006A238E"/>
    <w:rsid w:val="006A2617"/>
    <w:rsid w:val="006A288D"/>
    <w:rsid w:val="006A2A63"/>
    <w:rsid w:val="006A2CEA"/>
    <w:rsid w:val="006A2F55"/>
    <w:rsid w:val="006A329E"/>
    <w:rsid w:val="006A3341"/>
    <w:rsid w:val="006A3357"/>
    <w:rsid w:val="006A38B5"/>
    <w:rsid w:val="006A39AD"/>
    <w:rsid w:val="006A3B71"/>
    <w:rsid w:val="006A489C"/>
    <w:rsid w:val="006A4ABE"/>
    <w:rsid w:val="006A4B8D"/>
    <w:rsid w:val="006A4D8F"/>
    <w:rsid w:val="006A4EB8"/>
    <w:rsid w:val="006A5569"/>
    <w:rsid w:val="006A590E"/>
    <w:rsid w:val="006A5BFE"/>
    <w:rsid w:val="006A5D9D"/>
    <w:rsid w:val="006A621F"/>
    <w:rsid w:val="006A6278"/>
    <w:rsid w:val="006A62B5"/>
    <w:rsid w:val="006A65B4"/>
    <w:rsid w:val="006A66A6"/>
    <w:rsid w:val="006A6833"/>
    <w:rsid w:val="006A684F"/>
    <w:rsid w:val="006A6ABB"/>
    <w:rsid w:val="006A6AEE"/>
    <w:rsid w:val="006A6B04"/>
    <w:rsid w:val="006A6EEC"/>
    <w:rsid w:val="006A7310"/>
    <w:rsid w:val="006A7740"/>
    <w:rsid w:val="006A7B43"/>
    <w:rsid w:val="006A7FFA"/>
    <w:rsid w:val="006B00A7"/>
    <w:rsid w:val="006B08F9"/>
    <w:rsid w:val="006B0924"/>
    <w:rsid w:val="006B0EB1"/>
    <w:rsid w:val="006B12D2"/>
    <w:rsid w:val="006B14A6"/>
    <w:rsid w:val="006B1D69"/>
    <w:rsid w:val="006B1FA1"/>
    <w:rsid w:val="006B2166"/>
    <w:rsid w:val="006B2742"/>
    <w:rsid w:val="006B28EF"/>
    <w:rsid w:val="006B2CBF"/>
    <w:rsid w:val="006B2E5B"/>
    <w:rsid w:val="006B307A"/>
    <w:rsid w:val="006B336B"/>
    <w:rsid w:val="006B37AD"/>
    <w:rsid w:val="006B388A"/>
    <w:rsid w:val="006B3913"/>
    <w:rsid w:val="006B4105"/>
    <w:rsid w:val="006B443A"/>
    <w:rsid w:val="006B47F8"/>
    <w:rsid w:val="006B4969"/>
    <w:rsid w:val="006B4993"/>
    <w:rsid w:val="006B4A27"/>
    <w:rsid w:val="006B522C"/>
    <w:rsid w:val="006B526B"/>
    <w:rsid w:val="006B5D77"/>
    <w:rsid w:val="006B5DBB"/>
    <w:rsid w:val="006B5E8F"/>
    <w:rsid w:val="006B697A"/>
    <w:rsid w:val="006B6A1A"/>
    <w:rsid w:val="006B6CCA"/>
    <w:rsid w:val="006B790A"/>
    <w:rsid w:val="006B7D50"/>
    <w:rsid w:val="006B7D70"/>
    <w:rsid w:val="006C05C4"/>
    <w:rsid w:val="006C0964"/>
    <w:rsid w:val="006C0EC1"/>
    <w:rsid w:val="006C0EDE"/>
    <w:rsid w:val="006C153E"/>
    <w:rsid w:val="006C169F"/>
    <w:rsid w:val="006C1D9E"/>
    <w:rsid w:val="006C2195"/>
    <w:rsid w:val="006C237E"/>
    <w:rsid w:val="006C244A"/>
    <w:rsid w:val="006C2698"/>
    <w:rsid w:val="006C27F6"/>
    <w:rsid w:val="006C299C"/>
    <w:rsid w:val="006C2CA8"/>
    <w:rsid w:val="006C2F51"/>
    <w:rsid w:val="006C3155"/>
    <w:rsid w:val="006C330A"/>
    <w:rsid w:val="006C345F"/>
    <w:rsid w:val="006C3AB1"/>
    <w:rsid w:val="006C3B59"/>
    <w:rsid w:val="006C3E2A"/>
    <w:rsid w:val="006C3E8F"/>
    <w:rsid w:val="006C3EB4"/>
    <w:rsid w:val="006C3FE2"/>
    <w:rsid w:val="006C4196"/>
    <w:rsid w:val="006C421F"/>
    <w:rsid w:val="006C43DC"/>
    <w:rsid w:val="006C45F4"/>
    <w:rsid w:val="006C4A21"/>
    <w:rsid w:val="006C4ABD"/>
    <w:rsid w:val="006C4CC8"/>
    <w:rsid w:val="006C4E5C"/>
    <w:rsid w:val="006C541D"/>
    <w:rsid w:val="006C548C"/>
    <w:rsid w:val="006C5732"/>
    <w:rsid w:val="006C5ABE"/>
    <w:rsid w:val="006C5D56"/>
    <w:rsid w:val="006C5F59"/>
    <w:rsid w:val="006C64E1"/>
    <w:rsid w:val="006C68C5"/>
    <w:rsid w:val="006C6B58"/>
    <w:rsid w:val="006C7038"/>
    <w:rsid w:val="006C70E7"/>
    <w:rsid w:val="006C7E97"/>
    <w:rsid w:val="006D0056"/>
    <w:rsid w:val="006D025B"/>
    <w:rsid w:val="006D0531"/>
    <w:rsid w:val="006D0711"/>
    <w:rsid w:val="006D0DF4"/>
    <w:rsid w:val="006D12F2"/>
    <w:rsid w:val="006D1573"/>
    <w:rsid w:val="006D175E"/>
    <w:rsid w:val="006D17F6"/>
    <w:rsid w:val="006D1843"/>
    <w:rsid w:val="006D1972"/>
    <w:rsid w:val="006D1BFE"/>
    <w:rsid w:val="006D1E52"/>
    <w:rsid w:val="006D1F40"/>
    <w:rsid w:val="006D1FBA"/>
    <w:rsid w:val="006D225C"/>
    <w:rsid w:val="006D2602"/>
    <w:rsid w:val="006D2704"/>
    <w:rsid w:val="006D29DD"/>
    <w:rsid w:val="006D2C7D"/>
    <w:rsid w:val="006D2CFD"/>
    <w:rsid w:val="006D3941"/>
    <w:rsid w:val="006D3BBD"/>
    <w:rsid w:val="006D3DD1"/>
    <w:rsid w:val="006D3DE9"/>
    <w:rsid w:val="006D416F"/>
    <w:rsid w:val="006D4172"/>
    <w:rsid w:val="006D4210"/>
    <w:rsid w:val="006D44AB"/>
    <w:rsid w:val="006D45BF"/>
    <w:rsid w:val="006D4A2D"/>
    <w:rsid w:val="006D4D53"/>
    <w:rsid w:val="006D4EC4"/>
    <w:rsid w:val="006D50ED"/>
    <w:rsid w:val="006D5199"/>
    <w:rsid w:val="006D5D95"/>
    <w:rsid w:val="006D5DBC"/>
    <w:rsid w:val="006D6AF0"/>
    <w:rsid w:val="006D6E9D"/>
    <w:rsid w:val="006D6FBB"/>
    <w:rsid w:val="006D7301"/>
    <w:rsid w:val="006D75F4"/>
    <w:rsid w:val="006D77B5"/>
    <w:rsid w:val="006D7ABA"/>
    <w:rsid w:val="006E02DB"/>
    <w:rsid w:val="006E087E"/>
    <w:rsid w:val="006E0C19"/>
    <w:rsid w:val="006E0DD8"/>
    <w:rsid w:val="006E0DFB"/>
    <w:rsid w:val="006E1223"/>
    <w:rsid w:val="006E1BB5"/>
    <w:rsid w:val="006E1BDC"/>
    <w:rsid w:val="006E1E5D"/>
    <w:rsid w:val="006E20A3"/>
    <w:rsid w:val="006E25B7"/>
    <w:rsid w:val="006E2815"/>
    <w:rsid w:val="006E2894"/>
    <w:rsid w:val="006E28D2"/>
    <w:rsid w:val="006E2B0A"/>
    <w:rsid w:val="006E2F54"/>
    <w:rsid w:val="006E2FF0"/>
    <w:rsid w:val="006E31F3"/>
    <w:rsid w:val="006E31F5"/>
    <w:rsid w:val="006E3B5D"/>
    <w:rsid w:val="006E3C33"/>
    <w:rsid w:val="006E3F75"/>
    <w:rsid w:val="006E43C0"/>
    <w:rsid w:val="006E43E7"/>
    <w:rsid w:val="006E47EE"/>
    <w:rsid w:val="006E495F"/>
    <w:rsid w:val="006E4966"/>
    <w:rsid w:val="006E51F3"/>
    <w:rsid w:val="006E5405"/>
    <w:rsid w:val="006E5811"/>
    <w:rsid w:val="006E5B4A"/>
    <w:rsid w:val="006E5E03"/>
    <w:rsid w:val="006E6055"/>
    <w:rsid w:val="006E60E8"/>
    <w:rsid w:val="006E61F9"/>
    <w:rsid w:val="006E63A6"/>
    <w:rsid w:val="006E650A"/>
    <w:rsid w:val="006E653B"/>
    <w:rsid w:val="006E6DB8"/>
    <w:rsid w:val="006E6EE3"/>
    <w:rsid w:val="006E6F8D"/>
    <w:rsid w:val="006E7129"/>
    <w:rsid w:val="006E712F"/>
    <w:rsid w:val="006E7408"/>
    <w:rsid w:val="006E748D"/>
    <w:rsid w:val="006E75F5"/>
    <w:rsid w:val="006E7719"/>
    <w:rsid w:val="006E7760"/>
    <w:rsid w:val="006E7AC4"/>
    <w:rsid w:val="006E7D75"/>
    <w:rsid w:val="006E7EC3"/>
    <w:rsid w:val="006E7FEA"/>
    <w:rsid w:val="006F03EB"/>
    <w:rsid w:val="006F07DC"/>
    <w:rsid w:val="006F0D26"/>
    <w:rsid w:val="006F1087"/>
    <w:rsid w:val="006F14B6"/>
    <w:rsid w:val="006F17DF"/>
    <w:rsid w:val="006F1E2D"/>
    <w:rsid w:val="006F1F52"/>
    <w:rsid w:val="006F2063"/>
    <w:rsid w:val="006F23B5"/>
    <w:rsid w:val="006F382F"/>
    <w:rsid w:val="006F3C10"/>
    <w:rsid w:val="006F3DAE"/>
    <w:rsid w:val="006F4004"/>
    <w:rsid w:val="006F4166"/>
    <w:rsid w:val="006F4202"/>
    <w:rsid w:val="006F430C"/>
    <w:rsid w:val="006F43B4"/>
    <w:rsid w:val="006F4670"/>
    <w:rsid w:val="006F4816"/>
    <w:rsid w:val="006F48E5"/>
    <w:rsid w:val="006F4952"/>
    <w:rsid w:val="006F4AEC"/>
    <w:rsid w:val="006F4F0B"/>
    <w:rsid w:val="006F4FC6"/>
    <w:rsid w:val="006F5095"/>
    <w:rsid w:val="006F532A"/>
    <w:rsid w:val="006F53EC"/>
    <w:rsid w:val="006F5400"/>
    <w:rsid w:val="006F5536"/>
    <w:rsid w:val="006F561E"/>
    <w:rsid w:val="006F56E3"/>
    <w:rsid w:val="006F56FE"/>
    <w:rsid w:val="006F5BBA"/>
    <w:rsid w:val="006F5F55"/>
    <w:rsid w:val="006F6382"/>
    <w:rsid w:val="006F63E9"/>
    <w:rsid w:val="006F6804"/>
    <w:rsid w:val="006F6A57"/>
    <w:rsid w:val="006F72D0"/>
    <w:rsid w:val="006F7315"/>
    <w:rsid w:val="006F731D"/>
    <w:rsid w:val="006F7AA6"/>
    <w:rsid w:val="006F7CAE"/>
    <w:rsid w:val="006F7F7D"/>
    <w:rsid w:val="007003F7"/>
    <w:rsid w:val="0070057C"/>
    <w:rsid w:val="0070078C"/>
    <w:rsid w:val="00700D42"/>
    <w:rsid w:val="00701623"/>
    <w:rsid w:val="007016B0"/>
    <w:rsid w:val="007016B5"/>
    <w:rsid w:val="00701771"/>
    <w:rsid w:val="00701987"/>
    <w:rsid w:val="00701A56"/>
    <w:rsid w:val="00701D79"/>
    <w:rsid w:val="00702189"/>
    <w:rsid w:val="0070221D"/>
    <w:rsid w:val="00702AE0"/>
    <w:rsid w:val="00703246"/>
    <w:rsid w:val="0070330C"/>
    <w:rsid w:val="0070330D"/>
    <w:rsid w:val="00703322"/>
    <w:rsid w:val="00703476"/>
    <w:rsid w:val="00703608"/>
    <w:rsid w:val="007036E1"/>
    <w:rsid w:val="00703716"/>
    <w:rsid w:val="0070408B"/>
    <w:rsid w:val="00704993"/>
    <w:rsid w:val="00704AF0"/>
    <w:rsid w:val="00704B98"/>
    <w:rsid w:val="00704FED"/>
    <w:rsid w:val="0070503F"/>
    <w:rsid w:val="0070575E"/>
    <w:rsid w:val="00705DEF"/>
    <w:rsid w:val="00705E28"/>
    <w:rsid w:val="0070603A"/>
    <w:rsid w:val="007060B3"/>
    <w:rsid w:val="0070625A"/>
    <w:rsid w:val="007065D9"/>
    <w:rsid w:val="00706619"/>
    <w:rsid w:val="00706672"/>
    <w:rsid w:val="00706704"/>
    <w:rsid w:val="0070683C"/>
    <w:rsid w:val="00706BA2"/>
    <w:rsid w:val="00707146"/>
    <w:rsid w:val="007073E6"/>
    <w:rsid w:val="00707878"/>
    <w:rsid w:val="007078B4"/>
    <w:rsid w:val="00707954"/>
    <w:rsid w:val="00707AA4"/>
    <w:rsid w:val="00707ADE"/>
    <w:rsid w:val="00707AE4"/>
    <w:rsid w:val="00707C48"/>
    <w:rsid w:val="00707D60"/>
    <w:rsid w:val="00707DD6"/>
    <w:rsid w:val="00707DEA"/>
    <w:rsid w:val="00707FB6"/>
    <w:rsid w:val="007102FF"/>
    <w:rsid w:val="007106CF"/>
    <w:rsid w:val="00710704"/>
    <w:rsid w:val="00710CA6"/>
    <w:rsid w:val="00710D52"/>
    <w:rsid w:val="00710E43"/>
    <w:rsid w:val="00711189"/>
    <w:rsid w:val="0071163F"/>
    <w:rsid w:val="00711E91"/>
    <w:rsid w:val="00711F16"/>
    <w:rsid w:val="00712FF5"/>
    <w:rsid w:val="00713142"/>
    <w:rsid w:val="007134B2"/>
    <w:rsid w:val="0071356A"/>
    <w:rsid w:val="00713742"/>
    <w:rsid w:val="007138B7"/>
    <w:rsid w:val="00713A52"/>
    <w:rsid w:val="00713CA7"/>
    <w:rsid w:val="00713DA6"/>
    <w:rsid w:val="00713F99"/>
    <w:rsid w:val="00714063"/>
    <w:rsid w:val="0071422E"/>
    <w:rsid w:val="00714426"/>
    <w:rsid w:val="00714658"/>
    <w:rsid w:val="00714868"/>
    <w:rsid w:val="00714A3F"/>
    <w:rsid w:val="00714DCE"/>
    <w:rsid w:val="00715459"/>
    <w:rsid w:val="007154F0"/>
    <w:rsid w:val="007157EB"/>
    <w:rsid w:val="007158FA"/>
    <w:rsid w:val="00715A4D"/>
    <w:rsid w:val="00715B93"/>
    <w:rsid w:val="00716108"/>
    <w:rsid w:val="007162AD"/>
    <w:rsid w:val="00716321"/>
    <w:rsid w:val="0071634D"/>
    <w:rsid w:val="007163D1"/>
    <w:rsid w:val="007164A2"/>
    <w:rsid w:val="007166A7"/>
    <w:rsid w:val="007168CD"/>
    <w:rsid w:val="007178D2"/>
    <w:rsid w:val="00717CC1"/>
    <w:rsid w:val="00717F39"/>
    <w:rsid w:val="00720132"/>
    <w:rsid w:val="00720576"/>
    <w:rsid w:val="00720ED1"/>
    <w:rsid w:val="007215EC"/>
    <w:rsid w:val="00721973"/>
    <w:rsid w:val="00721A07"/>
    <w:rsid w:val="00721F6B"/>
    <w:rsid w:val="00721FE5"/>
    <w:rsid w:val="0072205A"/>
    <w:rsid w:val="00722ACA"/>
    <w:rsid w:val="00722B18"/>
    <w:rsid w:val="00722B4B"/>
    <w:rsid w:val="00722DBA"/>
    <w:rsid w:val="00723695"/>
    <w:rsid w:val="0072374C"/>
    <w:rsid w:val="0072393E"/>
    <w:rsid w:val="00723C60"/>
    <w:rsid w:val="00724200"/>
    <w:rsid w:val="007245AA"/>
    <w:rsid w:val="0072467C"/>
    <w:rsid w:val="00724854"/>
    <w:rsid w:val="007254DB"/>
    <w:rsid w:val="00725944"/>
    <w:rsid w:val="0072595A"/>
    <w:rsid w:val="007259B0"/>
    <w:rsid w:val="00725AE9"/>
    <w:rsid w:val="00725E62"/>
    <w:rsid w:val="00726611"/>
    <w:rsid w:val="00726D7D"/>
    <w:rsid w:val="00726F80"/>
    <w:rsid w:val="00727328"/>
    <w:rsid w:val="00727D5E"/>
    <w:rsid w:val="007300BE"/>
    <w:rsid w:val="00730341"/>
    <w:rsid w:val="007305A9"/>
    <w:rsid w:val="007308D2"/>
    <w:rsid w:val="00731012"/>
    <w:rsid w:val="00731341"/>
    <w:rsid w:val="00731A41"/>
    <w:rsid w:val="00731D41"/>
    <w:rsid w:val="00731D48"/>
    <w:rsid w:val="00731FDE"/>
    <w:rsid w:val="00732127"/>
    <w:rsid w:val="007325AC"/>
    <w:rsid w:val="007325F2"/>
    <w:rsid w:val="00732DFF"/>
    <w:rsid w:val="00733146"/>
    <w:rsid w:val="007332B1"/>
    <w:rsid w:val="00733980"/>
    <w:rsid w:val="00733AB6"/>
    <w:rsid w:val="00733B67"/>
    <w:rsid w:val="00733EBD"/>
    <w:rsid w:val="007341AA"/>
    <w:rsid w:val="00734264"/>
    <w:rsid w:val="007343C7"/>
    <w:rsid w:val="007345C7"/>
    <w:rsid w:val="00734841"/>
    <w:rsid w:val="00734C33"/>
    <w:rsid w:val="0073501B"/>
    <w:rsid w:val="00735127"/>
    <w:rsid w:val="00735740"/>
    <w:rsid w:val="00735A19"/>
    <w:rsid w:val="00735A7D"/>
    <w:rsid w:val="00735CE6"/>
    <w:rsid w:val="00735D50"/>
    <w:rsid w:val="00736243"/>
    <w:rsid w:val="007363D9"/>
    <w:rsid w:val="007366E5"/>
    <w:rsid w:val="007367ED"/>
    <w:rsid w:val="007369D6"/>
    <w:rsid w:val="00736AD8"/>
    <w:rsid w:val="00736EFE"/>
    <w:rsid w:val="007372E8"/>
    <w:rsid w:val="00737D33"/>
    <w:rsid w:val="007403EF"/>
    <w:rsid w:val="00740828"/>
    <w:rsid w:val="00740D43"/>
    <w:rsid w:val="00740DBF"/>
    <w:rsid w:val="00740FFB"/>
    <w:rsid w:val="00741027"/>
    <w:rsid w:val="007410FE"/>
    <w:rsid w:val="00741258"/>
    <w:rsid w:val="00741378"/>
    <w:rsid w:val="007413F3"/>
    <w:rsid w:val="007416FC"/>
    <w:rsid w:val="00741E31"/>
    <w:rsid w:val="00741F28"/>
    <w:rsid w:val="00742050"/>
    <w:rsid w:val="007426BD"/>
    <w:rsid w:val="007429C0"/>
    <w:rsid w:val="00742AF5"/>
    <w:rsid w:val="00742BAC"/>
    <w:rsid w:val="00742BB8"/>
    <w:rsid w:val="00742ECF"/>
    <w:rsid w:val="00742F30"/>
    <w:rsid w:val="00743438"/>
    <w:rsid w:val="00743AAC"/>
    <w:rsid w:val="00743DF5"/>
    <w:rsid w:val="00743F97"/>
    <w:rsid w:val="00744983"/>
    <w:rsid w:val="007454BE"/>
    <w:rsid w:val="00745D6F"/>
    <w:rsid w:val="00745DA7"/>
    <w:rsid w:val="00746073"/>
    <w:rsid w:val="007461FF"/>
    <w:rsid w:val="007463C0"/>
    <w:rsid w:val="0074643D"/>
    <w:rsid w:val="007464A7"/>
    <w:rsid w:val="0074690C"/>
    <w:rsid w:val="00746928"/>
    <w:rsid w:val="00746B2F"/>
    <w:rsid w:val="00746B4C"/>
    <w:rsid w:val="00747016"/>
    <w:rsid w:val="0074715C"/>
    <w:rsid w:val="007471F0"/>
    <w:rsid w:val="0074772F"/>
    <w:rsid w:val="007477DA"/>
    <w:rsid w:val="0075021C"/>
    <w:rsid w:val="0075024C"/>
    <w:rsid w:val="00750553"/>
    <w:rsid w:val="00750740"/>
    <w:rsid w:val="00750849"/>
    <w:rsid w:val="0075093E"/>
    <w:rsid w:val="00750DFE"/>
    <w:rsid w:val="00751052"/>
    <w:rsid w:val="007510E2"/>
    <w:rsid w:val="007515B4"/>
    <w:rsid w:val="00751649"/>
    <w:rsid w:val="00751A8D"/>
    <w:rsid w:val="00751BA3"/>
    <w:rsid w:val="00751C34"/>
    <w:rsid w:val="00751CF1"/>
    <w:rsid w:val="00751D35"/>
    <w:rsid w:val="00751DCB"/>
    <w:rsid w:val="0075263C"/>
    <w:rsid w:val="007533DD"/>
    <w:rsid w:val="007536EA"/>
    <w:rsid w:val="007537AA"/>
    <w:rsid w:val="00753B38"/>
    <w:rsid w:val="00753C1A"/>
    <w:rsid w:val="007542A8"/>
    <w:rsid w:val="007546DA"/>
    <w:rsid w:val="007548FF"/>
    <w:rsid w:val="00754BD7"/>
    <w:rsid w:val="00754E43"/>
    <w:rsid w:val="00754FD2"/>
    <w:rsid w:val="007550B4"/>
    <w:rsid w:val="007550CF"/>
    <w:rsid w:val="007551E0"/>
    <w:rsid w:val="00755282"/>
    <w:rsid w:val="00755C28"/>
    <w:rsid w:val="00756061"/>
    <w:rsid w:val="00756563"/>
    <w:rsid w:val="007565B1"/>
    <w:rsid w:val="00756601"/>
    <w:rsid w:val="00756734"/>
    <w:rsid w:val="00756880"/>
    <w:rsid w:val="00756AFE"/>
    <w:rsid w:val="00756D2C"/>
    <w:rsid w:val="007573DA"/>
    <w:rsid w:val="007573E6"/>
    <w:rsid w:val="0075764D"/>
    <w:rsid w:val="007577B8"/>
    <w:rsid w:val="00757C21"/>
    <w:rsid w:val="00760967"/>
    <w:rsid w:val="00760A05"/>
    <w:rsid w:val="00760AE5"/>
    <w:rsid w:val="00760B62"/>
    <w:rsid w:val="00760C40"/>
    <w:rsid w:val="00760CDD"/>
    <w:rsid w:val="00760FEA"/>
    <w:rsid w:val="0076120A"/>
    <w:rsid w:val="007612D0"/>
    <w:rsid w:val="00761391"/>
    <w:rsid w:val="007613EA"/>
    <w:rsid w:val="00761591"/>
    <w:rsid w:val="00762019"/>
    <w:rsid w:val="00762032"/>
    <w:rsid w:val="0076216E"/>
    <w:rsid w:val="00762175"/>
    <w:rsid w:val="00762185"/>
    <w:rsid w:val="007623BF"/>
    <w:rsid w:val="00762487"/>
    <w:rsid w:val="00762712"/>
    <w:rsid w:val="007627B0"/>
    <w:rsid w:val="00762FB2"/>
    <w:rsid w:val="00763656"/>
    <w:rsid w:val="00763732"/>
    <w:rsid w:val="007638CA"/>
    <w:rsid w:val="00763C6D"/>
    <w:rsid w:val="00763EEE"/>
    <w:rsid w:val="0076415C"/>
    <w:rsid w:val="0076422B"/>
    <w:rsid w:val="00764378"/>
    <w:rsid w:val="0076454C"/>
    <w:rsid w:val="007645A3"/>
    <w:rsid w:val="0076493B"/>
    <w:rsid w:val="007649FC"/>
    <w:rsid w:val="00764B0A"/>
    <w:rsid w:val="00764B9A"/>
    <w:rsid w:val="00764E0C"/>
    <w:rsid w:val="00764F24"/>
    <w:rsid w:val="0076531D"/>
    <w:rsid w:val="00765509"/>
    <w:rsid w:val="00765B2C"/>
    <w:rsid w:val="00765CCB"/>
    <w:rsid w:val="00765D94"/>
    <w:rsid w:val="007660A8"/>
    <w:rsid w:val="0076672A"/>
    <w:rsid w:val="00766C7B"/>
    <w:rsid w:val="00766E84"/>
    <w:rsid w:val="00767165"/>
    <w:rsid w:val="00767592"/>
    <w:rsid w:val="007675D5"/>
    <w:rsid w:val="007679D6"/>
    <w:rsid w:val="00767A74"/>
    <w:rsid w:val="00767CAE"/>
    <w:rsid w:val="00767DEE"/>
    <w:rsid w:val="00767E8B"/>
    <w:rsid w:val="0077001E"/>
    <w:rsid w:val="00770847"/>
    <w:rsid w:val="0077089C"/>
    <w:rsid w:val="007709C0"/>
    <w:rsid w:val="00770CFC"/>
    <w:rsid w:val="00770F3A"/>
    <w:rsid w:val="00771366"/>
    <w:rsid w:val="00771442"/>
    <w:rsid w:val="007716D2"/>
    <w:rsid w:val="00771E26"/>
    <w:rsid w:val="00772086"/>
    <w:rsid w:val="00772145"/>
    <w:rsid w:val="007722B1"/>
    <w:rsid w:val="0077272F"/>
    <w:rsid w:val="007728C3"/>
    <w:rsid w:val="00772A6A"/>
    <w:rsid w:val="007731E0"/>
    <w:rsid w:val="007738AA"/>
    <w:rsid w:val="00773C78"/>
    <w:rsid w:val="007740E5"/>
    <w:rsid w:val="0077486B"/>
    <w:rsid w:val="0077499B"/>
    <w:rsid w:val="0077547D"/>
    <w:rsid w:val="0077578E"/>
    <w:rsid w:val="00775836"/>
    <w:rsid w:val="00775C0A"/>
    <w:rsid w:val="00776623"/>
    <w:rsid w:val="007769BD"/>
    <w:rsid w:val="00776ACE"/>
    <w:rsid w:val="00776D06"/>
    <w:rsid w:val="00776D7C"/>
    <w:rsid w:val="00776F03"/>
    <w:rsid w:val="00776FAE"/>
    <w:rsid w:val="0077736C"/>
    <w:rsid w:val="007773BB"/>
    <w:rsid w:val="007773D4"/>
    <w:rsid w:val="00777641"/>
    <w:rsid w:val="007777D0"/>
    <w:rsid w:val="00777AB1"/>
    <w:rsid w:val="00777BB8"/>
    <w:rsid w:val="00777DD9"/>
    <w:rsid w:val="00777E08"/>
    <w:rsid w:val="00777F57"/>
    <w:rsid w:val="0078004E"/>
    <w:rsid w:val="00780CFF"/>
    <w:rsid w:val="00780D13"/>
    <w:rsid w:val="00781031"/>
    <w:rsid w:val="007813E3"/>
    <w:rsid w:val="007813F1"/>
    <w:rsid w:val="007816B9"/>
    <w:rsid w:val="00781725"/>
    <w:rsid w:val="0078190E"/>
    <w:rsid w:val="00781A25"/>
    <w:rsid w:val="00781A6C"/>
    <w:rsid w:val="00781C6D"/>
    <w:rsid w:val="00782382"/>
    <w:rsid w:val="007828F3"/>
    <w:rsid w:val="007829A5"/>
    <w:rsid w:val="00782D58"/>
    <w:rsid w:val="00782EA4"/>
    <w:rsid w:val="00782F02"/>
    <w:rsid w:val="00782FB7"/>
    <w:rsid w:val="0078307B"/>
    <w:rsid w:val="0078338B"/>
    <w:rsid w:val="007833E3"/>
    <w:rsid w:val="0078369F"/>
    <w:rsid w:val="007842A4"/>
    <w:rsid w:val="007842A7"/>
    <w:rsid w:val="0078459D"/>
    <w:rsid w:val="007846B0"/>
    <w:rsid w:val="00784715"/>
    <w:rsid w:val="00784728"/>
    <w:rsid w:val="0078482C"/>
    <w:rsid w:val="00784C9B"/>
    <w:rsid w:val="00784D18"/>
    <w:rsid w:val="007854AA"/>
    <w:rsid w:val="007854CE"/>
    <w:rsid w:val="0078566A"/>
    <w:rsid w:val="00785813"/>
    <w:rsid w:val="007859B7"/>
    <w:rsid w:val="00785BB0"/>
    <w:rsid w:val="00785DB1"/>
    <w:rsid w:val="0078600A"/>
    <w:rsid w:val="007861EA"/>
    <w:rsid w:val="00786343"/>
    <w:rsid w:val="007866C0"/>
    <w:rsid w:val="00786CFF"/>
    <w:rsid w:val="0078730F"/>
    <w:rsid w:val="00787338"/>
    <w:rsid w:val="0078739C"/>
    <w:rsid w:val="007877BE"/>
    <w:rsid w:val="00787BEC"/>
    <w:rsid w:val="00787D58"/>
    <w:rsid w:val="00787D71"/>
    <w:rsid w:val="00790082"/>
    <w:rsid w:val="007903B0"/>
    <w:rsid w:val="007906BE"/>
    <w:rsid w:val="00790BDB"/>
    <w:rsid w:val="00791BF5"/>
    <w:rsid w:val="00791CED"/>
    <w:rsid w:val="00791F52"/>
    <w:rsid w:val="0079261B"/>
    <w:rsid w:val="00792AF2"/>
    <w:rsid w:val="00792DEE"/>
    <w:rsid w:val="00793035"/>
    <w:rsid w:val="0079304D"/>
    <w:rsid w:val="007930E5"/>
    <w:rsid w:val="00793349"/>
    <w:rsid w:val="00793555"/>
    <w:rsid w:val="00793625"/>
    <w:rsid w:val="00793815"/>
    <w:rsid w:val="00793A98"/>
    <w:rsid w:val="00793C38"/>
    <w:rsid w:val="00793E61"/>
    <w:rsid w:val="00793EC5"/>
    <w:rsid w:val="00793EFB"/>
    <w:rsid w:val="00793FAD"/>
    <w:rsid w:val="007941F6"/>
    <w:rsid w:val="00794318"/>
    <w:rsid w:val="0079469C"/>
    <w:rsid w:val="0079476E"/>
    <w:rsid w:val="007947A8"/>
    <w:rsid w:val="00794E7F"/>
    <w:rsid w:val="0079510C"/>
    <w:rsid w:val="00795485"/>
    <w:rsid w:val="00795B16"/>
    <w:rsid w:val="0079625C"/>
    <w:rsid w:val="0079691F"/>
    <w:rsid w:val="00796A94"/>
    <w:rsid w:val="00796E61"/>
    <w:rsid w:val="0079706E"/>
    <w:rsid w:val="0079738B"/>
    <w:rsid w:val="0079780B"/>
    <w:rsid w:val="00797858"/>
    <w:rsid w:val="007978CC"/>
    <w:rsid w:val="00797A58"/>
    <w:rsid w:val="00797C56"/>
    <w:rsid w:val="00797F56"/>
    <w:rsid w:val="007A063F"/>
    <w:rsid w:val="007A0B43"/>
    <w:rsid w:val="007A1241"/>
    <w:rsid w:val="007A1805"/>
    <w:rsid w:val="007A1EC4"/>
    <w:rsid w:val="007A2CD0"/>
    <w:rsid w:val="007A30EF"/>
    <w:rsid w:val="007A3449"/>
    <w:rsid w:val="007A34BC"/>
    <w:rsid w:val="007A3D21"/>
    <w:rsid w:val="007A3F4D"/>
    <w:rsid w:val="007A470F"/>
    <w:rsid w:val="007A4838"/>
    <w:rsid w:val="007A4B45"/>
    <w:rsid w:val="007A4CAD"/>
    <w:rsid w:val="007A4D61"/>
    <w:rsid w:val="007A4F86"/>
    <w:rsid w:val="007A5250"/>
    <w:rsid w:val="007A5653"/>
    <w:rsid w:val="007A6E8E"/>
    <w:rsid w:val="007A705B"/>
    <w:rsid w:val="007A74B6"/>
    <w:rsid w:val="007B0070"/>
    <w:rsid w:val="007B035C"/>
    <w:rsid w:val="007B1121"/>
    <w:rsid w:val="007B1429"/>
    <w:rsid w:val="007B151A"/>
    <w:rsid w:val="007B193B"/>
    <w:rsid w:val="007B1A62"/>
    <w:rsid w:val="007B1B03"/>
    <w:rsid w:val="007B1EE9"/>
    <w:rsid w:val="007B2065"/>
    <w:rsid w:val="007B253A"/>
    <w:rsid w:val="007B26B3"/>
    <w:rsid w:val="007B2B7D"/>
    <w:rsid w:val="007B3469"/>
    <w:rsid w:val="007B3517"/>
    <w:rsid w:val="007B369E"/>
    <w:rsid w:val="007B38EF"/>
    <w:rsid w:val="007B3924"/>
    <w:rsid w:val="007B3DC4"/>
    <w:rsid w:val="007B411C"/>
    <w:rsid w:val="007B580D"/>
    <w:rsid w:val="007B5D79"/>
    <w:rsid w:val="007B627F"/>
    <w:rsid w:val="007B6502"/>
    <w:rsid w:val="007B656F"/>
    <w:rsid w:val="007B665E"/>
    <w:rsid w:val="007B67D0"/>
    <w:rsid w:val="007B76AE"/>
    <w:rsid w:val="007B7710"/>
    <w:rsid w:val="007B7C82"/>
    <w:rsid w:val="007B7FC5"/>
    <w:rsid w:val="007C01C2"/>
    <w:rsid w:val="007C03DE"/>
    <w:rsid w:val="007C03FD"/>
    <w:rsid w:val="007C0DEC"/>
    <w:rsid w:val="007C0E1C"/>
    <w:rsid w:val="007C17FC"/>
    <w:rsid w:val="007C1878"/>
    <w:rsid w:val="007C1C5E"/>
    <w:rsid w:val="007C1E46"/>
    <w:rsid w:val="007C1FD3"/>
    <w:rsid w:val="007C231E"/>
    <w:rsid w:val="007C2374"/>
    <w:rsid w:val="007C23E1"/>
    <w:rsid w:val="007C2407"/>
    <w:rsid w:val="007C251B"/>
    <w:rsid w:val="007C2732"/>
    <w:rsid w:val="007C2972"/>
    <w:rsid w:val="007C2980"/>
    <w:rsid w:val="007C2F6B"/>
    <w:rsid w:val="007C314A"/>
    <w:rsid w:val="007C3541"/>
    <w:rsid w:val="007C36D4"/>
    <w:rsid w:val="007C3A65"/>
    <w:rsid w:val="007C3B46"/>
    <w:rsid w:val="007C3D9F"/>
    <w:rsid w:val="007C3DF8"/>
    <w:rsid w:val="007C406C"/>
    <w:rsid w:val="007C460C"/>
    <w:rsid w:val="007C465E"/>
    <w:rsid w:val="007C46CE"/>
    <w:rsid w:val="007C4861"/>
    <w:rsid w:val="007C4935"/>
    <w:rsid w:val="007C4D7C"/>
    <w:rsid w:val="007C4E2F"/>
    <w:rsid w:val="007C525F"/>
    <w:rsid w:val="007C545B"/>
    <w:rsid w:val="007C5626"/>
    <w:rsid w:val="007C5B7E"/>
    <w:rsid w:val="007C5BF1"/>
    <w:rsid w:val="007C618B"/>
    <w:rsid w:val="007C6520"/>
    <w:rsid w:val="007C65E6"/>
    <w:rsid w:val="007C6B53"/>
    <w:rsid w:val="007C6EBE"/>
    <w:rsid w:val="007C7905"/>
    <w:rsid w:val="007D00C3"/>
    <w:rsid w:val="007D073D"/>
    <w:rsid w:val="007D0893"/>
    <w:rsid w:val="007D0A3E"/>
    <w:rsid w:val="007D0B30"/>
    <w:rsid w:val="007D116F"/>
    <w:rsid w:val="007D1339"/>
    <w:rsid w:val="007D1785"/>
    <w:rsid w:val="007D17E4"/>
    <w:rsid w:val="007D1993"/>
    <w:rsid w:val="007D1A09"/>
    <w:rsid w:val="007D1B3B"/>
    <w:rsid w:val="007D1D4E"/>
    <w:rsid w:val="007D2526"/>
    <w:rsid w:val="007D2539"/>
    <w:rsid w:val="007D267E"/>
    <w:rsid w:val="007D28CE"/>
    <w:rsid w:val="007D2F8D"/>
    <w:rsid w:val="007D30B0"/>
    <w:rsid w:val="007D325D"/>
    <w:rsid w:val="007D3299"/>
    <w:rsid w:val="007D3328"/>
    <w:rsid w:val="007D3342"/>
    <w:rsid w:val="007D3376"/>
    <w:rsid w:val="007D35BC"/>
    <w:rsid w:val="007D39DC"/>
    <w:rsid w:val="007D3C37"/>
    <w:rsid w:val="007D3F8F"/>
    <w:rsid w:val="007D41D2"/>
    <w:rsid w:val="007D431B"/>
    <w:rsid w:val="007D4412"/>
    <w:rsid w:val="007D485C"/>
    <w:rsid w:val="007D4B41"/>
    <w:rsid w:val="007D4C92"/>
    <w:rsid w:val="007D4FBB"/>
    <w:rsid w:val="007D5002"/>
    <w:rsid w:val="007D51FE"/>
    <w:rsid w:val="007D581C"/>
    <w:rsid w:val="007D58DC"/>
    <w:rsid w:val="007D5AC2"/>
    <w:rsid w:val="007D5E5C"/>
    <w:rsid w:val="007D6242"/>
    <w:rsid w:val="007D6531"/>
    <w:rsid w:val="007D68AE"/>
    <w:rsid w:val="007D691C"/>
    <w:rsid w:val="007D7541"/>
    <w:rsid w:val="007D78C3"/>
    <w:rsid w:val="007D7D4C"/>
    <w:rsid w:val="007D7E67"/>
    <w:rsid w:val="007E01DE"/>
    <w:rsid w:val="007E052F"/>
    <w:rsid w:val="007E066C"/>
    <w:rsid w:val="007E0DFE"/>
    <w:rsid w:val="007E1536"/>
    <w:rsid w:val="007E17C9"/>
    <w:rsid w:val="007E1CA6"/>
    <w:rsid w:val="007E2397"/>
    <w:rsid w:val="007E2BA8"/>
    <w:rsid w:val="007E2D83"/>
    <w:rsid w:val="007E2EEF"/>
    <w:rsid w:val="007E3570"/>
    <w:rsid w:val="007E3CAA"/>
    <w:rsid w:val="007E40B5"/>
    <w:rsid w:val="007E4153"/>
    <w:rsid w:val="007E47AF"/>
    <w:rsid w:val="007E4974"/>
    <w:rsid w:val="007E4E4E"/>
    <w:rsid w:val="007E5335"/>
    <w:rsid w:val="007E538E"/>
    <w:rsid w:val="007E5567"/>
    <w:rsid w:val="007E5691"/>
    <w:rsid w:val="007E56C1"/>
    <w:rsid w:val="007E5DF1"/>
    <w:rsid w:val="007E5F3F"/>
    <w:rsid w:val="007E5FAA"/>
    <w:rsid w:val="007E63B7"/>
    <w:rsid w:val="007E6624"/>
    <w:rsid w:val="007E6664"/>
    <w:rsid w:val="007E66A7"/>
    <w:rsid w:val="007E69C3"/>
    <w:rsid w:val="007E6C45"/>
    <w:rsid w:val="007E6C58"/>
    <w:rsid w:val="007E6E95"/>
    <w:rsid w:val="007E701C"/>
    <w:rsid w:val="007E71AF"/>
    <w:rsid w:val="007E7432"/>
    <w:rsid w:val="007E7490"/>
    <w:rsid w:val="007E77EF"/>
    <w:rsid w:val="007E784F"/>
    <w:rsid w:val="007E7865"/>
    <w:rsid w:val="007E7CCE"/>
    <w:rsid w:val="007E7E90"/>
    <w:rsid w:val="007F031D"/>
    <w:rsid w:val="007F07A5"/>
    <w:rsid w:val="007F0DF6"/>
    <w:rsid w:val="007F0FD0"/>
    <w:rsid w:val="007F15AE"/>
    <w:rsid w:val="007F16FC"/>
    <w:rsid w:val="007F187E"/>
    <w:rsid w:val="007F2507"/>
    <w:rsid w:val="007F2AC4"/>
    <w:rsid w:val="007F2F0B"/>
    <w:rsid w:val="007F3069"/>
    <w:rsid w:val="007F32EC"/>
    <w:rsid w:val="007F3730"/>
    <w:rsid w:val="007F3DDB"/>
    <w:rsid w:val="007F4785"/>
    <w:rsid w:val="007F492D"/>
    <w:rsid w:val="007F4A68"/>
    <w:rsid w:val="007F520B"/>
    <w:rsid w:val="007F53EC"/>
    <w:rsid w:val="007F5554"/>
    <w:rsid w:val="007F56DE"/>
    <w:rsid w:val="007F5D51"/>
    <w:rsid w:val="007F5D8A"/>
    <w:rsid w:val="007F5F69"/>
    <w:rsid w:val="007F62D4"/>
    <w:rsid w:val="007F65C0"/>
    <w:rsid w:val="007F67E5"/>
    <w:rsid w:val="007F6D67"/>
    <w:rsid w:val="007F6D7E"/>
    <w:rsid w:val="007F70F4"/>
    <w:rsid w:val="007F71EB"/>
    <w:rsid w:val="007F73A2"/>
    <w:rsid w:val="007F7607"/>
    <w:rsid w:val="007F78CD"/>
    <w:rsid w:val="007F7912"/>
    <w:rsid w:val="007F7934"/>
    <w:rsid w:val="007F7973"/>
    <w:rsid w:val="007F7A5A"/>
    <w:rsid w:val="007F7E37"/>
    <w:rsid w:val="008000EF"/>
    <w:rsid w:val="00800202"/>
    <w:rsid w:val="00800319"/>
    <w:rsid w:val="008003DC"/>
    <w:rsid w:val="0080063C"/>
    <w:rsid w:val="008006F5"/>
    <w:rsid w:val="00800D07"/>
    <w:rsid w:val="00800DC8"/>
    <w:rsid w:val="00800E73"/>
    <w:rsid w:val="00800EEF"/>
    <w:rsid w:val="0080132A"/>
    <w:rsid w:val="00801B5D"/>
    <w:rsid w:val="00801C02"/>
    <w:rsid w:val="00801C98"/>
    <w:rsid w:val="0080202C"/>
    <w:rsid w:val="0080221F"/>
    <w:rsid w:val="008023CB"/>
    <w:rsid w:val="008029C2"/>
    <w:rsid w:val="00802D1B"/>
    <w:rsid w:val="008031A5"/>
    <w:rsid w:val="0080324C"/>
    <w:rsid w:val="00803693"/>
    <w:rsid w:val="0080382C"/>
    <w:rsid w:val="00803A91"/>
    <w:rsid w:val="00803AC5"/>
    <w:rsid w:val="00803C79"/>
    <w:rsid w:val="00803F68"/>
    <w:rsid w:val="00804242"/>
    <w:rsid w:val="008042A3"/>
    <w:rsid w:val="00804376"/>
    <w:rsid w:val="0080455C"/>
    <w:rsid w:val="00804986"/>
    <w:rsid w:val="00804A56"/>
    <w:rsid w:val="00805049"/>
    <w:rsid w:val="00805274"/>
    <w:rsid w:val="0080530F"/>
    <w:rsid w:val="00805438"/>
    <w:rsid w:val="00805476"/>
    <w:rsid w:val="00805597"/>
    <w:rsid w:val="008055DF"/>
    <w:rsid w:val="00805AA4"/>
    <w:rsid w:val="00805BD5"/>
    <w:rsid w:val="00805C45"/>
    <w:rsid w:val="0080631E"/>
    <w:rsid w:val="0080637B"/>
    <w:rsid w:val="0080662B"/>
    <w:rsid w:val="008066D2"/>
    <w:rsid w:val="00806703"/>
    <w:rsid w:val="00806994"/>
    <w:rsid w:val="00806AA3"/>
    <w:rsid w:val="00806BB4"/>
    <w:rsid w:val="00806C0D"/>
    <w:rsid w:val="00806F3F"/>
    <w:rsid w:val="00807275"/>
    <w:rsid w:val="0080752D"/>
    <w:rsid w:val="0080759F"/>
    <w:rsid w:val="00807F55"/>
    <w:rsid w:val="00807F87"/>
    <w:rsid w:val="0081030C"/>
    <w:rsid w:val="00810663"/>
    <w:rsid w:val="00810AD1"/>
    <w:rsid w:val="00811334"/>
    <w:rsid w:val="008118F0"/>
    <w:rsid w:val="00811D4B"/>
    <w:rsid w:val="00811F2A"/>
    <w:rsid w:val="00812089"/>
    <w:rsid w:val="00812154"/>
    <w:rsid w:val="0081216B"/>
    <w:rsid w:val="008122D8"/>
    <w:rsid w:val="008125AC"/>
    <w:rsid w:val="00812A3F"/>
    <w:rsid w:val="00812F53"/>
    <w:rsid w:val="008130E4"/>
    <w:rsid w:val="00813112"/>
    <w:rsid w:val="008133B5"/>
    <w:rsid w:val="00813646"/>
    <w:rsid w:val="00813662"/>
    <w:rsid w:val="00813712"/>
    <w:rsid w:val="00813963"/>
    <w:rsid w:val="00813D67"/>
    <w:rsid w:val="00813E78"/>
    <w:rsid w:val="008141A5"/>
    <w:rsid w:val="008144D0"/>
    <w:rsid w:val="00814718"/>
    <w:rsid w:val="00814B18"/>
    <w:rsid w:val="00814DE6"/>
    <w:rsid w:val="00814F6A"/>
    <w:rsid w:val="008152B7"/>
    <w:rsid w:val="0081536B"/>
    <w:rsid w:val="008154F0"/>
    <w:rsid w:val="00815A10"/>
    <w:rsid w:val="00815DA7"/>
    <w:rsid w:val="00816413"/>
    <w:rsid w:val="0081697A"/>
    <w:rsid w:val="00816A8E"/>
    <w:rsid w:val="00816AA4"/>
    <w:rsid w:val="00816BDC"/>
    <w:rsid w:val="00816F40"/>
    <w:rsid w:val="00817738"/>
    <w:rsid w:val="00817F01"/>
    <w:rsid w:val="008200C8"/>
    <w:rsid w:val="008202EE"/>
    <w:rsid w:val="00820561"/>
    <w:rsid w:val="0082074F"/>
    <w:rsid w:val="00820A72"/>
    <w:rsid w:val="00820CF4"/>
    <w:rsid w:val="00820D74"/>
    <w:rsid w:val="00820F11"/>
    <w:rsid w:val="00821229"/>
    <w:rsid w:val="00821E0E"/>
    <w:rsid w:val="00822A17"/>
    <w:rsid w:val="00823060"/>
    <w:rsid w:val="00823079"/>
    <w:rsid w:val="008232E8"/>
    <w:rsid w:val="00823C7F"/>
    <w:rsid w:val="00823CB8"/>
    <w:rsid w:val="00823EEF"/>
    <w:rsid w:val="0082430D"/>
    <w:rsid w:val="008247CF"/>
    <w:rsid w:val="0082482A"/>
    <w:rsid w:val="00824873"/>
    <w:rsid w:val="00824D2C"/>
    <w:rsid w:val="0082517D"/>
    <w:rsid w:val="00825766"/>
    <w:rsid w:val="00825773"/>
    <w:rsid w:val="00825A2C"/>
    <w:rsid w:val="00825A65"/>
    <w:rsid w:val="00825DEB"/>
    <w:rsid w:val="008270F1"/>
    <w:rsid w:val="00827287"/>
    <w:rsid w:val="0082728C"/>
    <w:rsid w:val="00827A56"/>
    <w:rsid w:val="00830125"/>
    <w:rsid w:val="0083013A"/>
    <w:rsid w:val="008301E1"/>
    <w:rsid w:val="0083022E"/>
    <w:rsid w:val="0083055E"/>
    <w:rsid w:val="008306DE"/>
    <w:rsid w:val="00830701"/>
    <w:rsid w:val="00830740"/>
    <w:rsid w:val="00830830"/>
    <w:rsid w:val="008308E1"/>
    <w:rsid w:val="00830941"/>
    <w:rsid w:val="008309B6"/>
    <w:rsid w:val="00830A29"/>
    <w:rsid w:val="00830BA4"/>
    <w:rsid w:val="00830C64"/>
    <w:rsid w:val="00831410"/>
    <w:rsid w:val="008314E0"/>
    <w:rsid w:val="00831893"/>
    <w:rsid w:val="00831B17"/>
    <w:rsid w:val="00831BE9"/>
    <w:rsid w:val="00831D90"/>
    <w:rsid w:val="00831FBB"/>
    <w:rsid w:val="0083200B"/>
    <w:rsid w:val="00832113"/>
    <w:rsid w:val="008322C4"/>
    <w:rsid w:val="008328BC"/>
    <w:rsid w:val="00832948"/>
    <w:rsid w:val="00832B20"/>
    <w:rsid w:val="00832CF4"/>
    <w:rsid w:val="00832F28"/>
    <w:rsid w:val="00833002"/>
    <w:rsid w:val="00833061"/>
    <w:rsid w:val="00833151"/>
    <w:rsid w:val="00833431"/>
    <w:rsid w:val="00833888"/>
    <w:rsid w:val="00833C54"/>
    <w:rsid w:val="00833F19"/>
    <w:rsid w:val="0083416B"/>
    <w:rsid w:val="008345F1"/>
    <w:rsid w:val="00834F69"/>
    <w:rsid w:val="0083507C"/>
    <w:rsid w:val="0083509D"/>
    <w:rsid w:val="008352F5"/>
    <w:rsid w:val="00835388"/>
    <w:rsid w:val="00835448"/>
    <w:rsid w:val="008358D1"/>
    <w:rsid w:val="00835A3C"/>
    <w:rsid w:val="00835B2C"/>
    <w:rsid w:val="00835BDC"/>
    <w:rsid w:val="00835E41"/>
    <w:rsid w:val="008360F4"/>
    <w:rsid w:val="00836592"/>
    <w:rsid w:val="00836BA9"/>
    <w:rsid w:val="00837464"/>
    <w:rsid w:val="008378B3"/>
    <w:rsid w:val="008378C7"/>
    <w:rsid w:val="00840144"/>
    <w:rsid w:val="008401FE"/>
    <w:rsid w:val="00840281"/>
    <w:rsid w:val="00840362"/>
    <w:rsid w:val="00840530"/>
    <w:rsid w:val="0084054D"/>
    <w:rsid w:val="00840627"/>
    <w:rsid w:val="00840F87"/>
    <w:rsid w:val="0084135C"/>
    <w:rsid w:val="00841715"/>
    <w:rsid w:val="00841968"/>
    <w:rsid w:val="00841EB7"/>
    <w:rsid w:val="008422CF"/>
    <w:rsid w:val="00842C3A"/>
    <w:rsid w:val="00842C4E"/>
    <w:rsid w:val="00842E42"/>
    <w:rsid w:val="00842E83"/>
    <w:rsid w:val="00842EEF"/>
    <w:rsid w:val="00842F7E"/>
    <w:rsid w:val="00843525"/>
    <w:rsid w:val="00843EC8"/>
    <w:rsid w:val="00843F04"/>
    <w:rsid w:val="00843F2F"/>
    <w:rsid w:val="00844274"/>
    <w:rsid w:val="00844496"/>
    <w:rsid w:val="0084450D"/>
    <w:rsid w:val="00844C16"/>
    <w:rsid w:val="00844F56"/>
    <w:rsid w:val="00845236"/>
    <w:rsid w:val="008452A0"/>
    <w:rsid w:val="00845304"/>
    <w:rsid w:val="00845363"/>
    <w:rsid w:val="008456AE"/>
    <w:rsid w:val="008456C4"/>
    <w:rsid w:val="0084599A"/>
    <w:rsid w:val="00845ACB"/>
    <w:rsid w:val="00846098"/>
    <w:rsid w:val="008465DA"/>
    <w:rsid w:val="00846CE0"/>
    <w:rsid w:val="00847043"/>
    <w:rsid w:val="008479F5"/>
    <w:rsid w:val="00847B06"/>
    <w:rsid w:val="0085004D"/>
    <w:rsid w:val="0085048C"/>
    <w:rsid w:val="00850BA6"/>
    <w:rsid w:val="00850BD0"/>
    <w:rsid w:val="00850C5D"/>
    <w:rsid w:val="008511B5"/>
    <w:rsid w:val="008516B0"/>
    <w:rsid w:val="0085173B"/>
    <w:rsid w:val="00851778"/>
    <w:rsid w:val="00851B20"/>
    <w:rsid w:val="00852606"/>
    <w:rsid w:val="00852967"/>
    <w:rsid w:val="008529AF"/>
    <w:rsid w:val="00852E9A"/>
    <w:rsid w:val="00852E9B"/>
    <w:rsid w:val="00852F2A"/>
    <w:rsid w:val="0085310E"/>
    <w:rsid w:val="0085335D"/>
    <w:rsid w:val="0085362E"/>
    <w:rsid w:val="0085364F"/>
    <w:rsid w:val="00853A37"/>
    <w:rsid w:val="00853DA1"/>
    <w:rsid w:val="008545C4"/>
    <w:rsid w:val="0085471B"/>
    <w:rsid w:val="008547C6"/>
    <w:rsid w:val="008563A3"/>
    <w:rsid w:val="00856696"/>
    <w:rsid w:val="008569AC"/>
    <w:rsid w:val="00856B2A"/>
    <w:rsid w:val="00856E8B"/>
    <w:rsid w:val="00856F0D"/>
    <w:rsid w:val="0085736B"/>
    <w:rsid w:val="008573D2"/>
    <w:rsid w:val="00857B0F"/>
    <w:rsid w:val="00857B8A"/>
    <w:rsid w:val="00857C9C"/>
    <w:rsid w:val="00857D27"/>
    <w:rsid w:val="00857E20"/>
    <w:rsid w:val="00857E45"/>
    <w:rsid w:val="0086040F"/>
    <w:rsid w:val="00860B14"/>
    <w:rsid w:val="00860BFF"/>
    <w:rsid w:val="00860C48"/>
    <w:rsid w:val="008622E0"/>
    <w:rsid w:val="00862425"/>
    <w:rsid w:val="008628EE"/>
    <w:rsid w:val="00862B87"/>
    <w:rsid w:val="00862FCF"/>
    <w:rsid w:val="00863494"/>
    <w:rsid w:val="00863535"/>
    <w:rsid w:val="00863B91"/>
    <w:rsid w:val="00863EC0"/>
    <w:rsid w:val="00864429"/>
    <w:rsid w:val="008656B0"/>
    <w:rsid w:val="008657B1"/>
    <w:rsid w:val="00865C3D"/>
    <w:rsid w:val="00865C9C"/>
    <w:rsid w:val="00865D7C"/>
    <w:rsid w:val="00865E2C"/>
    <w:rsid w:val="00866064"/>
    <w:rsid w:val="00866729"/>
    <w:rsid w:val="008669E9"/>
    <w:rsid w:val="008672F2"/>
    <w:rsid w:val="00867607"/>
    <w:rsid w:val="00867C1A"/>
    <w:rsid w:val="00867CA4"/>
    <w:rsid w:val="00867D02"/>
    <w:rsid w:val="00867DE1"/>
    <w:rsid w:val="00867FF1"/>
    <w:rsid w:val="00870299"/>
    <w:rsid w:val="00870434"/>
    <w:rsid w:val="00870633"/>
    <w:rsid w:val="0087072F"/>
    <w:rsid w:val="008707C5"/>
    <w:rsid w:val="008707E3"/>
    <w:rsid w:val="008709F2"/>
    <w:rsid w:val="00870F25"/>
    <w:rsid w:val="0087151E"/>
    <w:rsid w:val="00871EE1"/>
    <w:rsid w:val="00872220"/>
    <w:rsid w:val="008726C8"/>
    <w:rsid w:val="008727EC"/>
    <w:rsid w:val="0087311D"/>
    <w:rsid w:val="00873532"/>
    <w:rsid w:val="008737DD"/>
    <w:rsid w:val="00873805"/>
    <w:rsid w:val="00873A4B"/>
    <w:rsid w:val="00873CDC"/>
    <w:rsid w:val="00873CF6"/>
    <w:rsid w:val="008742C3"/>
    <w:rsid w:val="008746A6"/>
    <w:rsid w:val="00874B24"/>
    <w:rsid w:val="008751CC"/>
    <w:rsid w:val="008751CE"/>
    <w:rsid w:val="00875525"/>
    <w:rsid w:val="0087586D"/>
    <w:rsid w:val="008773FE"/>
    <w:rsid w:val="008776DA"/>
    <w:rsid w:val="0087796A"/>
    <w:rsid w:val="00877A07"/>
    <w:rsid w:val="00880610"/>
    <w:rsid w:val="00880613"/>
    <w:rsid w:val="0088075C"/>
    <w:rsid w:val="008807C1"/>
    <w:rsid w:val="008808AD"/>
    <w:rsid w:val="00880D67"/>
    <w:rsid w:val="00880D6E"/>
    <w:rsid w:val="00880EFC"/>
    <w:rsid w:val="00881165"/>
    <w:rsid w:val="00881916"/>
    <w:rsid w:val="00881B5A"/>
    <w:rsid w:val="00881B9F"/>
    <w:rsid w:val="00881F09"/>
    <w:rsid w:val="00881FD4"/>
    <w:rsid w:val="008821F7"/>
    <w:rsid w:val="00882699"/>
    <w:rsid w:val="00882E08"/>
    <w:rsid w:val="0088312D"/>
    <w:rsid w:val="0088391F"/>
    <w:rsid w:val="00883BF9"/>
    <w:rsid w:val="00883D16"/>
    <w:rsid w:val="008843AE"/>
    <w:rsid w:val="008847EC"/>
    <w:rsid w:val="00884ACF"/>
    <w:rsid w:val="00884AF8"/>
    <w:rsid w:val="00884C34"/>
    <w:rsid w:val="00885257"/>
    <w:rsid w:val="0088525C"/>
    <w:rsid w:val="008852D9"/>
    <w:rsid w:val="008852EF"/>
    <w:rsid w:val="008853AC"/>
    <w:rsid w:val="0088559C"/>
    <w:rsid w:val="00885854"/>
    <w:rsid w:val="00885C73"/>
    <w:rsid w:val="00885DFA"/>
    <w:rsid w:val="0088614B"/>
    <w:rsid w:val="008865BD"/>
    <w:rsid w:val="0088691E"/>
    <w:rsid w:val="00886E5D"/>
    <w:rsid w:val="00887508"/>
    <w:rsid w:val="00887661"/>
    <w:rsid w:val="00887CE3"/>
    <w:rsid w:val="00890367"/>
    <w:rsid w:val="00890932"/>
    <w:rsid w:val="00890CF3"/>
    <w:rsid w:val="00891099"/>
    <w:rsid w:val="008911E9"/>
    <w:rsid w:val="00891776"/>
    <w:rsid w:val="00892BB2"/>
    <w:rsid w:val="00892DB4"/>
    <w:rsid w:val="00892FDC"/>
    <w:rsid w:val="00893491"/>
    <w:rsid w:val="0089364D"/>
    <w:rsid w:val="00893C06"/>
    <w:rsid w:val="008941BE"/>
    <w:rsid w:val="008946DF"/>
    <w:rsid w:val="00894730"/>
    <w:rsid w:val="00894762"/>
    <w:rsid w:val="0089491F"/>
    <w:rsid w:val="00894B17"/>
    <w:rsid w:val="008950EB"/>
    <w:rsid w:val="00895104"/>
    <w:rsid w:val="008951CE"/>
    <w:rsid w:val="00895352"/>
    <w:rsid w:val="008955A6"/>
    <w:rsid w:val="008957FB"/>
    <w:rsid w:val="00895814"/>
    <w:rsid w:val="00895B12"/>
    <w:rsid w:val="00895FF3"/>
    <w:rsid w:val="008960E1"/>
    <w:rsid w:val="00896261"/>
    <w:rsid w:val="008966F9"/>
    <w:rsid w:val="008967A1"/>
    <w:rsid w:val="00896809"/>
    <w:rsid w:val="00896964"/>
    <w:rsid w:val="00896B1B"/>
    <w:rsid w:val="00896EBA"/>
    <w:rsid w:val="00897124"/>
    <w:rsid w:val="0089715B"/>
    <w:rsid w:val="008971E2"/>
    <w:rsid w:val="008974FD"/>
    <w:rsid w:val="00897AF6"/>
    <w:rsid w:val="00897C52"/>
    <w:rsid w:val="00897D6D"/>
    <w:rsid w:val="008A0A94"/>
    <w:rsid w:val="008A0E06"/>
    <w:rsid w:val="008A12CA"/>
    <w:rsid w:val="008A152E"/>
    <w:rsid w:val="008A1785"/>
    <w:rsid w:val="008A195E"/>
    <w:rsid w:val="008A20A4"/>
    <w:rsid w:val="008A249E"/>
    <w:rsid w:val="008A26C2"/>
    <w:rsid w:val="008A29F1"/>
    <w:rsid w:val="008A3140"/>
    <w:rsid w:val="008A33FC"/>
    <w:rsid w:val="008A3429"/>
    <w:rsid w:val="008A348C"/>
    <w:rsid w:val="008A3A24"/>
    <w:rsid w:val="008A3B0A"/>
    <w:rsid w:val="008A3C45"/>
    <w:rsid w:val="008A3CDC"/>
    <w:rsid w:val="008A448A"/>
    <w:rsid w:val="008A45B3"/>
    <w:rsid w:val="008A475D"/>
    <w:rsid w:val="008A4B6F"/>
    <w:rsid w:val="008A4B74"/>
    <w:rsid w:val="008A4E2B"/>
    <w:rsid w:val="008A4E7A"/>
    <w:rsid w:val="008A556C"/>
    <w:rsid w:val="008A55AB"/>
    <w:rsid w:val="008A5CEB"/>
    <w:rsid w:val="008A647C"/>
    <w:rsid w:val="008A658A"/>
    <w:rsid w:val="008A6677"/>
    <w:rsid w:val="008A68E2"/>
    <w:rsid w:val="008A7369"/>
    <w:rsid w:val="008A747E"/>
    <w:rsid w:val="008A7984"/>
    <w:rsid w:val="008A7A8B"/>
    <w:rsid w:val="008A7C63"/>
    <w:rsid w:val="008A7D73"/>
    <w:rsid w:val="008A7E6D"/>
    <w:rsid w:val="008A7EBF"/>
    <w:rsid w:val="008B009D"/>
    <w:rsid w:val="008B035C"/>
    <w:rsid w:val="008B03BC"/>
    <w:rsid w:val="008B055D"/>
    <w:rsid w:val="008B05A9"/>
    <w:rsid w:val="008B05B7"/>
    <w:rsid w:val="008B0906"/>
    <w:rsid w:val="008B0B6A"/>
    <w:rsid w:val="008B10DD"/>
    <w:rsid w:val="008B126C"/>
    <w:rsid w:val="008B1312"/>
    <w:rsid w:val="008B1E62"/>
    <w:rsid w:val="008B2067"/>
    <w:rsid w:val="008B25C2"/>
    <w:rsid w:val="008B27AD"/>
    <w:rsid w:val="008B297D"/>
    <w:rsid w:val="008B2980"/>
    <w:rsid w:val="008B3593"/>
    <w:rsid w:val="008B3ACC"/>
    <w:rsid w:val="008B3DBE"/>
    <w:rsid w:val="008B445C"/>
    <w:rsid w:val="008B4762"/>
    <w:rsid w:val="008B51D6"/>
    <w:rsid w:val="008B5268"/>
    <w:rsid w:val="008B536C"/>
    <w:rsid w:val="008B538A"/>
    <w:rsid w:val="008B5481"/>
    <w:rsid w:val="008B6519"/>
    <w:rsid w:val="008B67B6"/>
    <w:rsid w:val="008B69E4"/>
    <w:rsid w:val="008B6C15"/>
    <w:rsid w:val="008B6D2A"/>
    <w:rsid w:val="008B71A9"/>
    <w:rsid w:val="008B7312"/>
    <w:rsid w:val="008B7A5F"/>
    <w:rsid w:val="008B7B17"/>
    <w:rsid w:val="008C015F"/>
    <w:rsid w:val="008C04C9"/>
    <w:rsid w:val="008C06F2"/>
    <w:rsid w:val="008C07B6"/>
    <w:rsid w:val="008C0FE3"/>
    <w:rsid w:val="008C1060"/>
    <w:rsid w:val="008C1213"/>
    <w:rsid w:val="008C1456"/>
    <w:rsid w:val="008C15A8"/>
    <w:rsid w:val="008C1660"/>
    <w:rsid w:val="008C17AB"/>
    <w:rsid w:val="008C18D2"/>
    <w:rsid w:val="008C1935"/>
    <w:rsid w:val="008C1954"/>
    <w:rsid w:val="008C1AB1"/>
    <w:rsid w:val="008C1C04"/>
    <w:rsid w:val="008C1EFA"/>
    <w:rsid w:val="008C2250"/>
    <w:rsid w:val="008C22A1"/>
    <w:rsid w:val="008C2C9B"/>
    <w:rsid w:val="008C2CD3"/>
    <w:rsid w:val="008C2F96"/>
    <w:rsid w:val="008C37B1"/>
    <w:rsid w:val="008C41B2"/>
    <w:rsid w:val="008C42CB"/>
    <w:rsid w:val="008C42F6"/>
    <w:rsid w:val="008C43D1"/>
    <w:rsid w:val="008C4872"/>
    <w:rsid w:val="008C4963"/>
    <w:rsid w:val="008C499D"/>
    <w:rsid w:val="008C4E8F"/>
    <w:rsid w:val="008C5224"/>
    <w:rsid w:val="008C547B"/>
    <w:rsid w:val="008C56E9"/>
    <w:rsid w:val="008C5CA1"/>
    <w:rsid w:val="008C5DAF"/>
    <w:rsid w:val="008C5EB3"/>
    <w:rsid w:val="008C5F1D"/>
    <w:rsid w:val="008C5FA3"/>
    <w:rsid w:val="008C6067"/>
    <w:rsid w:val="008C657B"/>
    <w:rsid w:val="008C6963"/>
    <w:rsid w:val="008C6CE1"/>
    <w:rsid w:val="008C6F5F"/>
    <w:rsid w:val="008C7062"/>
    <w:rsid w:val="008C7928"/>
    <w:rsid w:val="008D0104"/>
    <w:rsid w:val="008D0396"/>
    <w:rsid w:val="008D091C"/>
    <w:rsid w:val="008D0B74"/>
    <w:rsid w:val="008D0F43"/>
    <w:rsid w:val="008D1E78"/>
    <w:rsid w:val="008D2166"/>
    <w:rsid w:val="008D21BF"/>
    <w:rsid w:val="008D2642"/>
    <w:rsid w:val="008D27E8"/>
    <w:rsid w:val="008D2E16"/>
    <w:rsid w:val="008D2E4F"/>
    <w:rsid w:val="008D3022"/>
    <w:rsid w:val="008D3326"/>
    <w:rsid w:val="008D35A6"/>
    <w:rsid w:val="008D38B1"/>
    <w:rsid w:val="008D39D4"/>
    <w:rsid w:val="008D3BDE"/>
    <w:rsid w:val="008D4145"/>
    <w:rsid w:val="008D414B"/>
    <w:rsid w:val="008D4650"/>
    <w:rsid w:val="008D4798"/>
    <w:rsid w:val="008D47F7"/>
    <w:rsid w:val="008D48F2"/>
    <w:rsid w:val="008D4B1D"/>
    <w:rsid w:val="008D4BEC"/>
    <w:rsid w:val="008D5036"/>
    <w:rsid w:val="008D551A"/>
    <w:rsid w:val="008D55BC"/>
    <w:rsid w:val="008D56E7"/>
    <w:rsid w:val="008D570A"/>
    <w:rsid w:val="008D594C"/>
    <w:rsid w:val="008D5B6B"/>
    <w:rsid w:val="008D5B70"/>
    <w:rsid w:val="008D5F73"/>
    <w:rsid w:val="008D5F8A"/>
    <w:rsid w:val="008D6096"/>
    <w:rsid w:val="008D62A2"/>
    <w:rsid w:val="008D67E6"/>
    <w:rsid w:val="008D6A94"/>
    <w:rsid w:val="008D6BED"/>
    <w:rsid w:val="008D70CF"/>
    <w:rsid w:val="008D72BC"/>
    <w:rsid w:val="008D72EC"/>
    <w:rsid w:val="008D7627"/>
    <w:rsid w:val="008D7E25"/>
    <w:rsid w:val="008E000A"/>
    <w:rsid w:val="008E01FA"/>
    <w:rsid w:val="008E03A7"/>
    <w:rsid w:val="008E068D"/>
    <w:rsid w:val="008E082B"/>
    <w:rsid w:val="008E0BFB"/>
    <w:rsid w:val="008E0EFD"/>
    <w:rsid w:val="008E164B"/>
    <w:rsid w:val="008E1680"/>
    <w:rsid w:val="008E171B"/>
    <w:rsid w:val="008E1777"/>
    <w:rsid w:val="008E1DE0"/>
    <w:rsid w:val="008E1DF1"/>
    <w:rsid w:val="008E2131"/>
    <w:rsid w:val="008E213B"/>
    <w:rsid w:val="008E3009"/>
    <w:rsid w:val="008E3175"/>
    <w:rsid w:val="008E31AF"/>
    <w:rsid w:val="008E320C"/>
    <w:rsid w:val="008E3291"/>
    <w:rsid w:val="008E3314"/>
    <w:rsid w:val="008E34FC"/>
    <w:rsid w:val="008E3B9E"/>
    <w:rsid w:val="008E3CB0"/>
    <w:rsid w:val="008E3F46"/>
    <w:rsid w:val="008E3F81"/>
    <w:rsid w:val="008E42A6"/>
    <w:rsid w:val="008E4552"/>
    <w:rsid w:val="008E46A7"/>
    <w:rsid w:val="008E46E5"/>
    <w:rsid w:val="008E4868"/>
    <w:rsid w:val="008E4B6F"/>
    <w:rsid w:val="008E4CDE"/>
    <w:rsid w:val="008E4FC2"/>
    <w:rsid w:val="008E50E8"/>
    <w:rsid w:val="008E54EB"/>
    <w:rsid w:val="008E5B23"/>
    <w:rsid w:val="008E5C87"/>
    <w:rsid w:val="008E5F94"/>
    <w:rsid w:val="008E6506"/>
    <w:rsid w:val="008E6C98"/>
    <w:rsid w:val="008E6DB4"/>
    <w:rsid w:val="008E6FBB"/>
    <w:rsid w:val="008E7175"/>
    <w:rsid w:val="008E7221"/>
    <w:rsid w:val="008E7445"/>
    <w:rsid w:val="008E7569"/>
    <w:rsid w:val="008E78C4"/>
    <w:rsid w:val="008E79B9"/>
    <w:rsid w:val="008E7C67"/>
    <w:rsid w:val="008E7C91"/>
    <w:rsid w:val="008F01E9"/>
    <w:rsid w:val="008F05B1"/>
    <w:rsid w:val="008F10C4"/>
    <w:rsid w:val="008F1284"/>
    <w:rsid w:val="008F15D2"/>
    <w:rsid w:val="008F23B7"/>
    <w:rsid w:val="008F2D1E"/>
    <w:rsid w:val="008F2DE6"/>
    <w:rsid w:val="008F32F4"/>
    <w:rsid w:val="008F334A"/>
    <w:rsid w:val="008F38F0"/>
    <w:rsid w:val="008F39EA"/>
    <w:rsid w:val="008F3E4C"/>
    <w:rsid w:val="008F4522"/>
    <w:rsid w:val="008F4676"/>
    <w:rsid w:val="008F4ACD"/>
    <w:rsid w:val="008F4AF7"/>
    <w:rsid w:val="008F4E73"/>
    <w:rsid w:val="008F4F4B"/>
    <w:rsid w:val="008F5457"/>
    <w:rsid w:val="008F545A"/>
    <w:rsid w:val="008F551A"/>
    <w:rsid w:val="008F5961"/>
    <w:rsid w:val="008F5E6B"/>
    <w:rsid w:val="008F6079"/>
    <w:rsid w:val="008F62C8"/>
    <w:rsid w:val="008F62ED"/>
    <w:rsid w:val="008F6677"/>
    <w:rsid w:val="008F71B5"/>
    <w:rsid w:val="008F71DC"/>
    <w:rsid w:val="008F7733"/>
    <w:rsid w:val="008F77D7"/>
    <w:rsid w:val="008F7B77"/>
    <w:rsid w:val="008F7EA5"/>
    <w:rsid w:val="00900449"/>
    <w:rsid w:val="00900463"/>
    <w:rsid w:val="00900590"/>
    <w:rsid w:val="00900AEB"/>
    <w:rsid w:val="00900B7E"/>
    <w:rsid w:val="00900DC0"/>
    <w:rsid w:val="00900FD8"/>
    <w:rsid w:val="009010C0"/>
    <w:rsid w:val="00901654"/>
    <w:rsid w:val="00901714"/>
    <w:rsid w:val="0090193C"/>
    <w:rsid w:val="00901FD0"/>
    <w:rsid w:val="0090220F"/>
    <w:rsid w:val="0090229E"/>
    <w:rsid w:val="00902523"/>
    <w:rsid w:val="00902A6D"/>
    <w:rsid w:val="00902A90"/>
    <w:rsid w:val="00902B07"/>
    <w:rsid w:val="00902B24"/>
    <w:rsid w:val="00902B3D"/>
    <w:rsid w:val="00902DC2"/>
    <w:rsid w:val="00902E19"/>
    <w:rsid w:val="009030DC"/>
    <w:rsid w:val="009033B3"/>
    <w:rsid w:val="009035F1"/>
    <w:rsid w:val="009036BF"/>
    <w:rsid w:val="00903857"/>
    <w:rsid w:val="00903B58"/>
    <w:rsid w:val="00903D3D"/>
    <w:rsid w:val="00903DC3"/>
    <w:rsid w:val="009041C4"/>
    <w:rsid w:val="0090447A"/>
    <w:rsid w:val="00904951"/>
    <w:rsid w:val="00904E76"/>
    <w:rsid w:val="0090508A"/>
    <w:rsid w:val="0090575E"/>
    <w:rsid w:val="00905CAC"/>
    <w:rsid w:val="009060AC"/>
    <w:rsid w:val="00906488"/>
    <w:rsid w:val="00906943"/>
    <w:rsid w:val="00906AB3"/>
    <w:rsid w:val="00906FFB"/>
    <w:rsid w:val="00907062"/>
    <w:rsid w:val="009070FA"/>
    <w:rsid w:val="00907599"/>
    <w:rsid w:val="00907899"/>
    <w:rsid w:val="00907AF5"/>
    <w:rsid w:val="00907B90"/>
    <w:rsid w:val="00907CD0"/>
    <w:rsid w:val="009102AE"/>
    <w:rsid w:val="009109F7"/>
    <w:rsid w:val="00910D33"/>
    <w:rsid w:val="00910D92"/>
    <w:rsid w:val="00910E9D"/>
    <w:rsid w:val="00911095"/>
    <w:rsid w:val="0091112B"/>
    <w:rsid w:val="00911F93"/>
    <w:rsid w:val="00911FF0"/>
    <w:rsid w:val="009120EB"/>
    <w:rsid w:val="00912146"/>
    <w:rsid w:val="00912268"/>
    <w:rsid w:val="00912A8C"/>
    <w:rsid w:val="00912C18"/>
    <w:rsid w:val="00913AAE"/>
    <w:rsid w:val="00913F3A"/>
    <w:rsid w:val="009142A6"/>
    <w:rsid w:val="0091489B"/>
    <w:rsid w:val="009148D3"/>
    <w:rsid w:val="00914967"/>
    <w:rsid w:val="00914BED"/>
    <w:rsid w:val="00914D31"/>
    <w:rsid w:val="009152AC"/>
    <w:rsid w:val="009152FA"/>
    <w:rsid w:val="00915315"/>
    <w:rsid w:val="00915521"/>
    <w:rsid w:val="00915B70"/>
    <w:rsid w:val="00916512"/>
    <w:rsid w:val="00916D30"/>
    <w:rsid w:val="00916F32"/>
    <w:rsid w:val="00916F37"/>
    <w:rsid w:val="0091705F"/>
    <w:rsid w:val="009175AC"/>
    <w:rsid w:val="00917775"/>
    <w:rsid w:val="00917A8E"/>
    <w:rsid w:val="00917C60"/>
    <w:rsid w:val="0092047C"/>
    <w:rsid w:val="00920961"/>
    <w:rsid w:val="00921082"/>
    <w:rsid w:val="009210C7"/>
    <w:rsid w:val="0092110F"/>
    <w:rsid w:val="009212F0"/>
    <w:rsid w:val="009215C5"/>
    <w:rsid w:val="009216BA"/>
    <w:rsid w:val="00921992"/>
    <w:rsid w:val="00921AF6"/>
    <w:rsid w:val="00921BCE"/>
    <w:rsid w:val="00922587"/>
    <w:rsid w:val="00922616"/>
    <w:rsid w:val="0092267D"/>
    <w:rsid w:val="009227CF"/>
    <w:rsid w:val="00922AF5"/>
    <w:rsid w:val="00922C4C"/>
    <w:rsid w:val="009235E1"/>
    <w:rsid w:val="009236F3"/>
    <w:rsid w:val="00923F60"/>
    <w:rsid w:val="00924862"/>
    <w:rsid w:val="00924DAC"/>
    <w:rsid w:val="00924FEB"/>
    <w:rsid w:val="009250A2"/>
    <w:rsid w:val="00925321"/>
    <w:rsid w:val="009254D0"/>
    <w:rsid w:val="0092553B"/>
    <w:rsid w:val="009255F0"/>
    <w:rsid w:val="00925745"/>
    <w:rsid w:val="00925BE0"/>
    <w:rsid w:val="00925C0F"/>
    <w:rsid w:val="0092601C"/>
    <w:rsid w:val="00926107"/>
    <w:rsid w:val="00926326"/>
    <w:rsid w:val="009264DB"/>
    <w:rsid w:val="00926605"/>
    <w:rsid w:val="00926824"/>
    <w:rsid w:val="00926A0E"/>
    <w:rsid w:val="00926CCE"/>
    <w:rsid w:val="00926E33"/>
    <w:rsid w:val="00927AA8"/>
    <w:rsid w:val="00927EF9"/>
    <w:rsid w:val="009300BB"/>
    <w:rsid w:val="00930BE0"/>
    <w:rsid w:val="009312A5"/>
    <w:rsid w:val="009315A2"/>
    <w:rsid w:val="009319F0"/>
    <w:rsid w:val="00932492"/>
    <w:rsid w:val="0093250C"/>
    <w:rsid w:val="00932627"/>
    <w:rsid w:val="00932857"/>
    <w:rsid w:val="00932B3F"/>
    <w:rsid w:val="00932DB9"/>
    <w:rsid w:val="00933315"/>
    <w:rsid w:val="009333C2"/>
    <w:rsid w:val="0093389D"/>
    <w:rsid w:val="009338A4"/>
    <w:rsid w:val="00933B78"/>
    <w:rsid w:val="009340CF"/>
    <w:rsid w:val="0093417C"/>
    <w:rsid w:val="00934196"/>
    <w:rsid w:val="00934248"/>
    <w:rsid w:val="00934275"/>
    <w:rsid w:val="00934904"/>
    <w:rsid w:val="00935602"/>
    <w:rsid w:val="009356BA"/>
    <w:rsid w:val="009358E6"/>
    <w:rsid w:val="00935B2C"/>
    <w:rsid w:val="00935CDA"/>
    <w:rsid w:val="00935DB3"/>
    <w:rsid w:val="00935F1B"/>
    <w:rsid w:val="00935FB9"/>
    <w:rsid w:val="0093613C"/>
    <w:rsid w:val="0093623F"/>
    <w:rsid w:val="009362ED"/>
    <w:rsid w:val="00936319"/>
    <w:rsid w:val="009367C7"/>
    <w:rsid w:val="00936F34"/>
    <w:rsid w:val="00936F9E"/>
    <w:rsid w:val="009373F0"/>
    <w:rsid w:val="00937790"/>
    <w:rsid w:val="009378FE"/>
    <w:rsid w:val="009379AF"/>
    <w:rsid w:val="009379FA"/>
    <w:rsid w:val="00937BD7"/>
    <w:rsid w:val="00940235"/>
    <w:rsid w:val="00940351"/>
    <w:rsid w:val="00940932"/>
    <w:rsid w:val="00940D4B"/>
    <w:rsid w:val="009410E1"/>
    <w:rsid w:val="00941C2D"/>
    <w:rsid w:val="00941FB2"/>
    <w:rsid w:val="00942053"/>
    <w:rsid w:val="009421F0"/>
    <w:rsid w:val="00942588"/>
    <w:rsid w:val="009429AC"/>
    <w:rsid w:val="009429FD"/>
    <w:rsid w:val="00942A20"/>
    <w:rsid w:val="00942DE2"/>
    <w:rsid w:val="00943063"/>
    <w:rsid w:val="009432E4"/>
    <w:rsid w:val="00943C65"/>
    <w:rsid w:val="0094423E"/>
    <w:rsid w:val="00944320"/>
    <w:rsid w:val="009448DF"/>
    <w:rsid w:val="00944B81"/>
    <w:rsid w:val="00944E5F"/>
    <w:rsid w:val="00944FC3"/>
    <w:rsid w:val="009450AB"/>
    <w:rsid w:val="009455D5"/>
    <w:rsid w:val="00945715"/>
    <w:rsid w:val="009459AB"/>
    <w:rsid w:val="00945A52"/>
    <w:rsid w:val="00945C62"/>
    <w:rsid w:val="00946190"/>
    <w:rsid w:val="0094621D"/>
    <w:rsid w:val="00946282"/>
    <w:rsid w:val="009462A0"/>
    <w:rsid w:val="0094631A"/>
    <w:rsid w:val="009463BB"/>
    <w:rsid w:val="00946F46"/>
    <w:rsid w:val="0094725E"/>
    <w:rsid w:val="00947563"/>
    <w:rsid w:val="009476CD"/>
    <w:rsid w:val="009477DC"/>
    <w:rsid w:val="00947888"/>
    <w:rsid w:val="009479B9"/>
    <w:rsid w:val="009479E9"/>
    <w:rsid w:val="00950029"/>
    <w:rsid w:val="009503BE"/>
    <w:rsid w:val="00950419"/>
    <w:rsid w:val="0095099E"/>
    <w:rsid w:val="00950E23"/>
    <w:rsid w:val="00950EC9"/>
    <w:rsid w:val="00950F20"/>
    <w:rsid w:val="0095122D"/>
    <w:rsid w:val="009514C3"/>
    <w:rsid w:val="0095154E"/>
    <w:rsid w:val="00951ACD"/>
    <w:rsid w:val="00951CC0"/>
    <w:rsid w:val="00951D32"/>
    <w:rsid w:val="00951DEC"/>
    <w:rsid w:val="00952169"/>
    <w:rsid w:val="0095241F"/>
    <w:rsid w:val="00952E8A"/>
    <w:rsid w:val="00953269"/>
    <w:rsid w:val="0095382E"/>
    <w:rsid w:val="009539F0"/>
    <w:rsid w:val="00953A8C"/>
    <w:rsid w:val="00953AF8"/>
    <w:rsid w:val="00953C7E"/>
    <w:rsid w:val="00954D83"/>
    <w:rsid w:val="00954DEE"/>
    <w:rsid w:val="0095504B"/>
    <w:rsid w:val="009557CC"/>
    <w:rsid w:val="009558BE"/>
    <w:rsid w:val="00955913"/>
    <w:rsid w:val="009561C7"/>
    <w:rsid w:val="00956211"/>
    <w:rsid w:val="009564B6"/>
    <w:rsid w:val="00956592"/>
    <w:rsid w:val="0095675A"/>
    <w:rsid w:val="00956C69"/>
    <w:rsid w:val="00956E8C"/>
    <w:rsid w:val="00956F37"/>
    <w:rsid w:val="00956FD2"/>
    <w:rsid w:val="00957054"/>
    <w:rsid w:val="009572AC"/>
    <w:rsid w:val="009574E2"/>
    <w:rsid w:val="009575C5"/>
    <w:rsid w:val="00957626"/>
    <w:rsid w:val="00957670"/>
    <w:rsid w:val="0095792C"/>
    <w:rsid w:val="00957D60"/>
    <w:rsid w:val="00957DF3"/>
    <w:rsid w:val="00957EEA"/>
    <w:rsid w:val="009601A3"/>
    <w:rsid w:val="009603FB"/>
    <w:rsid w:val="009603FF"/>
    <w:rsid w:val="0096072F"/>
    <w:rsid w:val="00960755"/>
    <w:rsid w:val="00960B09"/>
    <w:rsid w:val="00960C68"/>
    <w:rsid w:val="00960F4B"/>
    <w:rsid w:val="00960FD7"/>
    <w:rsid w:val="00961403"/>
    <w:rsid w:val="00961C57"/>
    <w:rsid w:val="00961CA7"/>
    <w:rsid w:val="00961CCC"/>
    <w:rsid w:val="00961E94"/>
    <w:rsid w:val="00961FC8"/>
    <w:rsid w:val="00962932"/>
    <w:rsid w:val="00962DB3"/>
    <w:rsid w:val="00962E75"/>
    <w:rsid w:val="0096320C"/>
    <w:rsid w:val="00963301"/>
    <w:rsid w:val="00963320"/>
    <w:rsid w:val="00963B04"/>
    <w:rsid w:val="00963B96"/>
    <w:rsid w:val="00963E0E"/>
    <w:rsid w:val="00963FC4"/>
    <w:rsid w:val="0096409E"/>
    <w:rsid w:val="009640B6"/>
    <w:rsid w:val="00964774"/>
    <w:rsid w:val="00964C92"/>
    <w:rsid w:val="00964DE1"/>
    <w:rsid w:val="00964E8A"/>
    <w:rsid w:val="00965080"/>
    <w:rsid w:val="00965312"/>
    <w:rsid w:val="00965355"/>
    <w:rsid w:val="0096538D"/>
    <w:rsid w:val="009653E6"/>
    <w:rsid w:val="00965676"/>
    <w:rsid w:val="00965D57"/>
    <w:rsid w:val="00965D97"/>
    <w:rsid w:val="00965DD2"/>
    <w:rsid w:val="00966055"/>
    <w:rsid w:val="00966443"/>
    <w:rsid w:val="00966561"/>
    <w:rsid w:val="009668A8"/>
    <w:rsid w:val="00966941"/>
    <w:rsid w:val="009669DA"/>
    <w:rsid w:val="00966D7F"/>
    <w:rsid w:val="00966E63"/>
    <w:rsid w:val="0096749C"/>
    <w:rsid w:val="009679E0"/>
    <w:rsid w:val="009701D1"/>
    <w:rsid w:val="0097020F"/>
    <w:rsid w:val="009702C2"/>
    <w:rsid w:val="009706B7"/>
    <w:rsid w:val="009706CC"/>
    <w:rsid w:val="00970917"/>
    <w:rsid w:val="00970BDA"/>
    <w:rsid w:val="00970CA2"/>
    <w:rsid w:val="00971178"/>
    <w:rsid w:val="009712B9"/>
    <w:rsid w:val="0097140D"/>
    <w:rsid w:val="009717E7"/>
    <w:rsid w:val="00971B2D"/>
    <w:rsid w:val="00972422"/>
    <w:rsid w:val="009724E2"/>
    <w:rsid w:val="009728FE"/>
    <w:rsid w:val="00972A62"/>
    <w:rsid w:val="00972C40"/>
    <w:rsid w:val="00972F1A"/>
    <w:rsid w:val="00972F66"/>
    <w:rsid w:val="00972FE8"/>
    <w:rsid w:val="0097308F"/>
    <w:rsid w:val="009730D7"/>
    <w:rsid w:val="009736EC"/>
    <w:rsid w:val="00973901"/>
    <w:rsid w:val="009739D2"/>
    <w:rsid w:val="00974578"/>
    <w:rsid w:val="00974A9D"/>
    <w:rsid w:val="00974D10"/>
    <w:rsid w:val="00974ED2"/>
    <w:rsid w:val="00974F8F"/>
    <w:rsid w:val="009754FF"/>
    <w:rsid w:val="0097553F"/>
    <w:rsid w:val="0097594C"/>
    <w:rsid w:val="009760CB"/>
    <w:rsid w:val="0097657F"/>
    <w:rsid w:val="009766DE"/>
    <w:rsid w:val="009767A4"/>
    <w:rsid w:val="0097686D"/>
    <w:rsid w:val="009768E8"/>
    <w:rsid w:val="00977001"/>
    <w:rsid w:val="0097734D"/>
    <w:rsid w:val="00977419"/>
    <w:rsid w:val="00977486"/>
    <w:rsid w:val="009776AC"/>
    <w:rsid w:val="00977742"/>
    <w:rsid w:val="00977767"/>
    <w:rsid w:val="00977999"/>
    <w:rsid w:val="00977D7C"/>
    <w:rsid w:val="00977DFB"/>
    <w:rsid w:val="009800E9"/>
    <w:rsid w:val="009806D7"/>
    <w:rsid w:val="009806EA"/>
    <w:rsid w:val="00980747"/>
    <w:rsid w:val="0098077F"/>
    <w:rsid w:val="00980851"/>
    <w:rsid w:val="0098099F"/>
    <w:rsid w:val="00980D79"/>
    <w:rsid w:val="00980DF6"/>
    <w:rsid w:val="009812B6"/>
    <w:rsid w:val="0098141B"/>
    <w:rsid w:val="00981EDD"/>
    <w:rsid w:val="00982046"/>
    <w:rsid w:val="009828EA"/>
    <w:rsid w:val="00983321"/>
    <w:rsid w:val="00983489"/>
    <w:rsid w:val="00983584"/>
    <w:rsid w:val="0098374A"/>
    <w:rsid w:val="009838F0"/>
    <w:rsid w:val="00983C19"/>
    <w:rsid w:val="00984541"/>
    <w:rsid w:val="009849F8"/>
    <w:rsid w:val="00984D03"/>
    <w:rsid w:val="00985567"/>
    <w:rsid w:val="009856A2"/>
    <w:rsid w:val="00985900"/>
    <w:rsid w:val="0098610C"/>
    <w:rsid w:val="00986239"/>
    <w:rsid w:val="009867B4"/>
    <w:rsid w:val="00986B54"/>
    <w:rsid w:val="00986BCC"/>
    <w:rsid w:val="009871B7"/>
    <w:rsid w:val="0098736B"/>
    <w:rsid w:val="00987482"/>
    <w:rsid w:val="00987732"/>
    <w:rsid w:val="00987791"/>
    <w:rsid w:val="00987923"/>
    <w:rsid w:val="009902A1"/>
    <w:rsid w:val="00990330"/>
    <w:rsid w:val="009906CF"/>
    <w:rsid w:val="009909AD"/>
    <w:rsid w:val="00990D51"/>
    <w:rsid w:val="00990F0E"/>
    <w:rsid w:val="00991304"/>
    <w:rsid w:val="009915B5"/>
    <w:rsid w:val="00991911"/>
    <w:rsid w:val="009919F2"/>
    <w:rsid w:val="00991EBC"/>
    <w:rsid w:val="00992114"/>
    <w:rsid w:val="00992313"/>
    <w:rsid w:val="0099236E"/>
    <w:rsid w:val="0099240A"/>
    <w:rsid w:val="009924FC"/>
    <w:rsid w:val="00992776"/>
    <w:rsid w:val="00992ED1"/>
    <w:rsid w:val="00993458"/>
    <w:rsid w:val="00993D7B"/>
    <w:rsid w:val="00994460"/>
    <w:rsid w:val="00994DE6"/>
    <w:rsid w:val="00994EE4"/>
    <w:rsid w:val="00995183"/>
    <w:rsid w:val="00995406"/>
    <w:rsid w:val="009956E5"/>
    <w:rsid w:val="009957FC"/>
    <w:rsid w:val="00995990"/>
    <w:rsid w:val="009959FB"/>
    <w:rsid w:val="00995B1A"/>
    <w:rsid w:val="00996103"/>
    <w:rsid w:val="00996154"/>
    <w:rsid w:val="0099622E"/>
    <w:rsid w:val="00996357"/>
    <w:rsid w:val="00996AEF"/>
    <w:rsid w:val="00996F9C"/>
    <w:rsid w:val="009973CE"/>
    <w:rsid w:val="0099787E"/>
    <w:rsid w:val="009979C4"/>
    <w:rsid w:val="00997A7E"/>
    <w:rsid w:val="00997DF5"/>
    <w:rsid w:val="00997F8A"/>
    <w:rsid w:val="009A0064"/>
    <w:rsid w:val="009A0293"/>
    <w:rsid w:val="009A02F2"/>
    <w:rsid w:val="009A0377"/>
    <w:rsid w:val="009A04E9"/>
    <w:rsid w:val="009A09B4"/>
    <w:rsid w:val="009A0F96"/>
    <w:rsid w:val="009A16E0"/>
    <w:rsid w:val="009A1965"/>
    <w:rsid w:val="009A1E54"/>
    <w:rsid w:val="009A1E6E"/>
    <w:rsid w:val="009A1EA2"/>
    <w:rsid w:val="009A1EBC"/>
    <w:rsid w:val="009A2234"/>
    <w:rsid w:val="009A2324"/>
    <w:rsid w:val="009A23D0"/>
    <w:rsid w:val="009A2B68"/>
    <w:rsid w:val="009A2E5B"/>
    <w:rsid w:val="009A311E"/>
    <w:rsid w:val="009A31FB"/>
    <w:rsid w:val="009A377B"/>
    <w:rsid w:val="009A37B9"/>
    <w:rsid w:val="009A3989"/>
    <w:rsid w:val="009A3BB9"/>
    <w:rsid w:val="009A3D6F"/>
    <w:rsid w:val="009A459E"/>
    <w:rsid w:val="009A4AEB"/>
    <w:rsid w:val="009A4B47"/>
    <w:rsid w:val="009A4D50"/>
    <w:rsid w:val="009A4EBD"/>
    <w:rsid w:val="009A50D5"/>
    <w:rsid w:val="009A5299"/>
    <w:rsid w:val="009A52A8"/>
    <w:rsid w:val="009A56CC"/>
    <w:rsid w:val="009A5B0E"/>
    <w:rsid w:val="009A5CAE"/>
    <w:rsid w:val="009A627D"/>
    <w:rsid w:val="009A6374"/>
    <w:rsid w:val="009A6569"/>
    <w:rsid w:val="009A6A2F"/>
    <w:rsid w:val="009A708A"/>
    <w:rsid w:val="009A729C"/>
    <w:rsid w:val="009A79A0"/>
    <w:rsid w:val="009A79E8"/>
    <w:rsid w:val="009A7B4B"/>
    <w:rsid w:val="009A7B77"/>
    <w:rsid w:val="009A7CE7"/>
    <w:rsid w:val="009A7FF9"/>
    <w:rsid w:val="009B031B"/>
    <w:rsid w:val="009B03CD"/>
    <w:rsid w:val="009B0B68"/>
    <w:rsid w:val="009B0CFB"/>
    <w:rsid w:val="009B1198"/>
    <w:rsid w:val="009B1261"/>
    <w:rsid w:val="009B200E"/>
    <w:rsid w:val="009B26F6"/>
    <w:rsid w:val="009B298C"/>
    <w:rsid w:val="009B2F34"/>
    <w:rsid w:val="009B2FFE"/>
    <w:rsid w:val="009B3763"/>
    <w:rsid w:val="009B3D09"/>
    <w:rsid w:val="009B3F58"/>
    <w:rsid w:val="009B432A"/>
    <w:rsid w:val="009B4952"/>
    <w:rsid w:val="009B4FDE"/>
    <w:rsid w:val="009B5172"/>
    <w:rsid w:val="009B524A"/>
    <w:rsid w:val="009B53A0"/>
    <w:rsid w:val="009B54BD"/>
    <w:rsid w:val="009B55C0"/>
    <w:rsid w:val="009B566A"/>
    <w:rsid w:val="009B584B"/>
    <w:rsid w:val="009B59EB"/>
    <w:rsid w:val="009B5ABD"/>
    <w:rsid w:val="009B5C9A"/>
    <w:rsid w:val="009B5EB4"/>
    <w:rsid w:val="009B5ED7"/>
    <w:rsid w:val="009B64E4"/>
    <w:rsid w:val="009B68C7"/>
    <w:rsid w:val="009B6C43"/>
    <w:rsid w:val="009B6EB2"/>
    <w:rsid w:val="009B7249"/>
    <w:rsid w:val="009B7378"/>
    <w:rsid w:val="009B7462"/>
    <w:rsid w:val="009C03B1"/>
    <w:rsid w:val="009C03E0"/>
    <w:rsid w:val="009C046B"/>
    <w:rsid w:val="009C053D"/>
    <w:rsid w:val="009C0687"/>
    <w:rsid w:val="009C0C35"/>
    <w:rsid w:val="009C106A"/>
    <w:rsid w:val="009C108C"/>
    <w:rsid w:val="009C1392"/>
    <w:rsid w:val="009C13B7"/>
    <w:rsid w:val="009C1427"/>
    <w:rsid w:val="009C144C"/>
    <w:rsid w:val="009C1659"/>
    <w:rsid w:val="009C17E1"/>
    <w:rsid w:val="009C19B8"/>
    <w:rsid w:val="009C19FA"/>
    <w:rsid w:val="009C1D75"/>
    <w:rsid w:val="009C27D5"/>
    <w:rsid w:val="009C2D95"/>
    <w:rsid w:val="009C2E42"/>
    <w:rsid w:val="009C2F36"/>
    <w:rsid w:val="009C3771"/>
    <w:rsid w:val="009C3848"/>
    <w:rsid w:val="009C3882"/>
    <w:rsid w:val="009C3B39"/>
    <w:rsid w:val="009C3BEB"/>
    <w:rsid w:val="009C3CF3"/>
    <w:rsid w:val="009C3F88"/>
    <w:rsid w:val="009C4000"/>
    <w:rsid w:val="009C4561"/>
    <w:rsid w:val="009C4818"/>
    <w:rsid w:val="009C4C14"/>
    <w:rsid w:val="009C4FAC"/>
    <w:rsid w:val="009C588E"/>
    <w:rsid w:val="009C58C8"/>
    <w:rsid w:val="009C5995"/>
    <w:rsid w:val="009C59D0"/>
    <w:rsid w:val="009C5D27"/>
    <w:rsid w:val="009C5D3E"/>
    <w:rsid w:val="009C6755"/>
    <w:rsid w:val="009C6965"/>
    <w:rsid w:val="009C69CF"/>
    <w:rsid w:val="009C6D2E"/>
    <w:rsid w:val="009C6F90"/>
    <w:rsid w:val="009C746E"/>
    <w:rsid w:val="009C777D"/>
    <w:rsid w:val="009C77DC"/>
    <w:rsid w:val="009C7A02"/>
    <w:rsid w:val="009C7CD2"/>
    <w:rsid w:val="009C7E90"/>
    <w:rsid w:val="009C7FB0"/>
    <w:rsid w:val="009D00B3"/>
    <w:rsid w:val="009D033D"/>
    <w:rsid w:val="009D050F"/>
    <w:rsid w:val="009D0725"/>
    <w:rsid w:val="009D0C6D"/>
    <w:rsid w:val="009D0D1C"/>
    <w:rsid w:val="009D0D98"/>
    <w:rsid w:val="009D0F24"/>
    <w:rsid w:val="009D0F25"/>
    <w:rsid w:val="009D0F76"/>
    <w:rsid w:val="009D104F"/>
    <w:rsid w:val="009D1E7F"/>
    <w:rsid w:val="009D1FE5"/>
    <w:rsid w:val="009D22D7"/>
    <w:rsid w:val="009D25A6"/>
    <w:rsid w:val="009D2A1F"/>
    <w:rsid w:val="009D2AA4"/>
    <w:rsid w:val="009D2D17"/>
    <w:rsid w:val="009D3705"/>
    <w:rsid w:val="009D378C"/>
    <w:rsid w:val="009D37DA"/>
    <w:rsid w:val="009D388F"/>
    <w:rsid w:val="009D3A04"/>
    <w:rsid w:val="009D3A52"/>
    <w:rsid w:val="009D3A81"/>
    <w:rsid w:val="009D3F15"/>
    <w:rsid w:val="009D4212"/>
    <w:rsid w:val="009D4780"/>
    <w:rsid w:val="009D4D83"/>
    <w:rsid w:val="009D551C"/>
    <w:rsid w:val="009D55D3"/>
    <w:rsid w:val="009D57D4"/>
    <w:rsid w:val="009D58BC"/>
    <w:rsid w:val="009D5A78"/>
    <w:rsid w:val="009D6393"/>
    <w:rsid w:val="009D67FE"/>
    <w:rsid w:val="009D6D85"/>
    <w:rsid w:val="009D6DA4"/>
    <w:rsid w:val="009D71CC"/>
    <w:rsid w:val="009D7270"/>
    <w:rsid w:val="009D74A0"/>
    <w:rsid w:val="009D7924"/>
    <w:rsid w:val="009D795C"/>
    <w:rsid w:val="009D7998"/>
    <w:rsid w:val="009D7B6F"/>
    <w:rsid w:val="009D7EFE"/>
    <w:rsid w:val="009D7FAA"/>
    <w:rsid w:val="009E0057"/>
    <w:rsid w:val="009E0E85"/>
    <w:rsid w:val="009E12D9"/>
    <w:rsid w:val="009E1536"/>
    <w:rsid w:val="009E17BE"/>
    <w:rsid w:val="009E187F"/>
    <w:rsid w:val="009E1DA2"/>
    <w:rsid w:val="009E2771"/>
    <w:rsid w:val="009E2934"/>
    <w:rsid w:val="009E2A17"/>
    <w:rsid w:val="009E2CB6"/>
    <w:rsid w:val="009E338E"/>
    <w:rsid w:val="009E3607"/>
    <w:rsid w:val="009E3952"/>
    <w:rsid w:val="009E3AEA"/>
    <w:rsid w:val="009E3BBC"/>
    <w:rsid w:val="009E3CD5"/>
    <w:rsid w:val="009E43EA"/>
    <w:rsid w:val="009E45D2"/>
    <w:rsid w:val="009E4C7F"/>
    <w:rsid w:val="009E5140"/>
    <w:rsid w:val="009E5345"/>
    <w:rsid w:val="009E551D"/>
    <w:rsid w:val="009E5899"/>
    <w:rsid w:val="009E5926"/>
    <w:rsid w:val="009E6273"/>
    <w:rsid w:val="009E6375"/>
    <w:rsid w:val="009E64F6"/>
    <w:rsid w:val="009E6684"/>
    <w:rsid w:val="009E697D"/>
    <w:rsid w:val="009E6DC5"/>
    <w:rsid w:val="009E7041"/>
    <w:rsid w:val="009E725B"/>
    <w:rsid w:val="009E792F"/>
    <w:rsid w:val="009E7D36"/>
    <w:rsid w:val="009E7F8E"/>
    <w:rsid w:val="009F0046"/>
    <w:rsid w:val="009F0304"/>
    <w:rsid w:val="009F03BA"/>
    <w:rsid w:val="009F040A"/>
    <w:rsid w:val="009F0682"/>
    <w:rsid w:val="009F09D7"/>
    <w:rsid w:val="009F0B71"/>
    <w:rsid w:val="009F0BCF"/>
    <w:rsid w:val="009F0C4F"/>
    <w:rsid w:val="009F1255"/>
    <w:rsid w:val="009F14D9"/>
    <w:rsid w:val="009F153F"/>
    <w:rsid w:val="009F1AF0"/>
    <w:rsid w:val="009F1C25"/>
    <w:rsid w:val="009F1E19"/>
    <w:rsid w:val="009F1F17"/>
    <w:rsid w:val="009F3037"/>
    <w:rsid w:val="009F36A5"/>
    <w:rsid w:val="009F379E"/>
    <w:rsid w:val="009F3925"/>
    <w:rsid w:val="009F39B0"/>
    <w:rsid w:val="009F3D9C"/>
    <w:rsid w:val="009F3DF7"/>
    <w:rsid w:val="009F4047"/>
    <w:rsid w:val="009F446C"/>
    <w:rsid w:val="009F4536"/>
    <w:rsid w:val="009F461D"/>
    <w:rsid w:val="009F4A41"/>
    <w:rsid w:val="009F4BDD"/>
    <w:rsid w:val="009F4F68"/>
    <w:rsid w:val="009F4FD0"/>
    <w:rsid w:val="009F53A6"/>
    <w:rsid w:val="009F580C"/>
    <w:rsid w:val="009F5974"/>
    <w:rsid w:val="009F5BDB"/>
    <w:rsid w:val="009F6511"/>
    <w:rsid w:val="009F68C8"/>
    <w:rsid w:val="009F68E4"/>
    <w:rsid w:val="009F6B39"/>
    <w:rsid w:val="009F703D"/>
    <w:rsid w:val="009F71DC"/>
    <w:rsid w:val="009F7215"/>
    <w:rsid w:val="009F72E5"/>
    <w:rsid w:val="009F7655"/>
    <w:rsid w:val="009F76E9"/>
    <w:rsid w:val="009F7BC6"/>
    <w:rsid w:val="00A00323"/>
    <w:rsid w:val="00A004F8"/>
    <w:rsid w:val="00A005C2"/>
    <w:rsid w:val="00A00F34"/>
    <w:rsid w:val="00A01286"/>
    <w:rsid w:val="00A012EA"/>
    <w:rsid w:val="00A01345"/>
    <w:rsid w:val="00A01359"/>
    <w:rsid w:val="00A01601"/>
    <w:rsid w:val="00A01604"/>
    <w:rsid w:val="00A025A7"/>
    <w:rsid w:val="00A02987"/>
    <w:rsid w:val="00A02BA9"/>
    <w:rsid w:val="00A02D7B"/>
    <w:rsid w:val="00A02EF4"/>
    <w:rsid w:val="00A02F90"/>
    <w:rsid w:val="00A031BC"/>
    <w:rsid w:val="00A0376F"/>
    <w:rsid w:val="00A03A46"/>
    <w:rsid w:val="00A03E28"/>
    <w:rsid w:val="00A03E55"/>
    <w:rsid w:val="00A03EC5"/>
    <w:rsid w:val="00A03FC7"/>
    <w:rsid w:val="00A040C6"/>
    <w:rsid w:val="00A0455D"/>
    <w:rsid w:val="00A04B4B"/>
    <w:rsid w:val="00A04D84"/>
    <w:rsid w:val="00A04FAC"/>
    <w:rsid w:val="00A04FEA"/>
    <w:rsid w:val="00A0542F"/>
    <w:rsid w:val="00A0548E"/>
    <w:rsid w:val="00A05511"/>
    <w:rsid w:val="00A05581"/>
    <w:rsid w:val="00A05A88"/>
    <w:rsid w:val="00A05C23"/>
    <w:rsid w:val="00A05C78"/>
    <w:rsid w:val="00A05DB5"/>
    <w:rsid w:val="00A063F1"/>
    <w:rsid w:val="00A064C2"/>
    <w:rsid w:val="00A06689"/>
    <w:rsid w:val="00A06CF0"/>
    <w:rsid w:val="00A071B2"/>
    <w:rsid w:val="00A07228"/>
    <w:rsid w:val="00A0734F"/>
    <w:rsid w:val="00A07438"/>
    <w:rsid w:val="00A0760A"/>
    <w:rsid w:val="00A079AD"/>
    <w:rsid w:val="00A07CA4"/>
    <w:rsid w:val="00A10286"/>
    <w:rsid w:val="00A1040B"/>
    <w:rsid w:val="00A104C2"/>
    <w:rsid w:val="00A1071C"/>
    <w:rsid w:val="00A11572"/>
    <w:rsid w:val="00A11AFE"/>
    <w:rsid w:val="00A11B65"/>
    <w:rsid w:val="00A11F88"/>
    <w:rsid w:val="00A12022"/>
    <w:rsid w:val="00A12237"/>
    <w:rsid w:val="00A12F2B"/>
    <w:rsid w:val="00A12F30"/>
    <w:rsid w:val="00A13093"/>
    <w:rsid w:val="00A1309C"/>
    <w:rsid w:val="00A1318F"/>
    <w:rsid w:val="00A1325F"/>
    <w:rsid w:val="00A138C2"/>
    <w:rsid w:val="00A13B0C"/>
    <w:rsid w:val="00A13C54"/>
    <w:rsid w:val="00A13D94"/>
    <w:rsid w:val="00A13FA1"/>
    <w:rsid w:val="00A14120"/>
    <w:rsid w:val="00A142AE"/>
    <w:rsid w:val="00A14B54"/>
    <w:rsid w:val="00A1546D"/>
    <w:rsid w:val="00A15815"/>
    <w:rsid w:val="00A15CC1"/>
    <w:rsid w:val="00A15DD1"/>
    <w:rsid w:val="00A15FB6"/>
    <w:rsid w:val="00A16111"/>
    <w:rsid w:val="00A16222"/>
    <w:rsid w:val="00A1631D"/>
    <w:rsid w:val="00A16400"/>
    <w:rsid w:val="00A16990"/>
    <w:rsid w:val="00A169B9"/>
    <w:rsid w:val="00A16AAA"/>
    <w:rsid w:val="00A171B4"/>
    <w:rsid w:val="00A1726D"/>
    <w:rsid w:val="00A174C3"/>
    <w:rsid w:val="00A17623"/>
    <w:rsid w:val="00A17715"/>
    <w:rsid w:val="00A17A25"/>
    <w:rsid w:val="00A2012C"/>
    <w:rsid w:val="00A20147"/>
    <w:rsid w:val="00A20361"/>
    <w:rsid w:val="00A20896"/>
    <w:rsid w:val="00A20B31"/>
    <w:rsid w:val="00A2114F"/>
    <w:rsid w:val="00A2190D"/>
    <w:rsid w:val="00A21A9D"/>
    <w:rsid w:val="00A21BAE"/>
    <w:rsid w:val="00A21D38"/>
    <w:rsid w:val="00A21D7A"/>
    <w:rsid w:val="00A23295"/>
    <w:rsid w:val="00A23409"/>
    <w:rsid w:val="00A2375F"/>
    <w:rsid w:val="00A23B3A"/>
    <w:rsid w:val="00A23BC3"/>
    <w:rsid w:val="00A23FC4"/>
    <w:rsid w:val="00A24071"/>
    <w:rsid w:val="00A2418B"/>
    <w:rsid w:val="00A2427F"/>
    <w:rsid w:val="00A24383"/>
    <w:rsid w:val="00A24B66"/>
    <w:rsid w:val="00A24BA8"/>
    <w:rsid w:val="00A24C26"/>
    <w:rsid w:val="00A250AB"/>
    <w:rsid w:val="00A2515B"/>
    <w:rsid w:val="00A251B1"/>
    <w:rsid w:val="00A253F0"/>
    <w:rsid w:val="00A25472"/>
    <w:rsid w:val="00A25B47"/>
    <w:rsid w:val="00A261CB"/>
    <w:rsid w:val="00A2627F"/>
    <w:rsid w:val="00A26371"/>
    <w:rsid w:val="00A26A7E"/>
    <w:rsid w:val="00A26D21"/>
    <w:rsid w:val="00A2726E"/>
    <w:rsid w:val="00A2731D"/>
    <w:rsid w:val="00A27419"/>
    <w:rsid w:val="00A275EE"/>
    <w:rsid w:val="00A27ABA"/>
    <w:rsid w:val="00A27DA7"/>
    <w:rsid w:val="00A27E8D"/>
    <w:rsid w:val="00A3019A"/>
    <w:rsid w:val="00A3058B"/>
    <w:rsid w:val="00A307FF"/>
    <w:rsid w:val="00A308A0"/>
    <w:rsid w:val="00A308E1"/>
    <w:rsid w:val="00A30B9C"/>
    <w:rsid w:val="00A30C2C"/>
    <w:rsid w:val="00A311CE"/>
    <w:rsid w:val="00A31E30"/>
    <w:rsid w:val="00A326DA"/>
    <w:rsid w:val="00A3278A"/>
    <w:rsid w:val="00A327A2"/>
    <w:rsid w:val="00A3293C"/>
    <w:rsid w:val="00A32CC4"/>
    <w:rsid w:val="00A32D7D"/>
    <w:rsid w:val="00A32D9E"/>
    <w:rsid w:val="00A32DE3"/>
    <w:rsid w:val="00A32EE7"/>
    <w:rsid w:val="00A3306A"/>
    <w:rsid w:val="00A330C9"/>
    <w:rsid w:val="00A3313D"/>
    <w:rsid w:val="00A331AE"/>
    <w:rsid w:val="00A33EA9"/>
    <w:rsid w:val="00A34033"/>
    <w:rsid w:val="00A34637"/>
    <w:rsid w:val="00A346AF"/>
    <w:rsid w:val="00A34764"/>
    <w:rsid w:val="00A34AEF"/>
    <w:rsid w:val="00A34BB3"/>
    <w:rsid w:val="00A34DB2"/>
    <w:rsid w:val="00A35195"/>
    <w:rsid w:val="00A3522A"/>
    <w:rsid w:val="00A353DE"/>
    <w:rsid w:val="00A355BE"/>
    <w:rsid w:val="00A3584A"/>
    <w:rsid w:val="00A359D6"/>
    <w:rsid w:val="00A35A28"/>
    <w:rsid w:val="00A35CF9"/>
    <w:rsid w:val="00A35D1E"/>
    <w:rsid w:val="00A36A75"/>
    <w:rsid w:val="00A36B33"/>
    <w:rsid w:val="00A36C59"/>
    <w:rsid w:val="00A36D9E"/>
    <w:rsid w:val="00A372ED"/>
    <w:rsid w:val="00A37605"/>
    <w:rsid w:val="00A377DC"/>
    <w:rsid w:val="00A37D41"/>
    <w:rsid w:val="00A40159"/>
    <w:rsid w:val="00A40314"/>
    <w:rsid w:val="00A4072C"/>
    <w:rsid w:val="00A40797"/>
    <w:rsid w:val="00A41396"/>
    <w:rsid w:val="00A41481"/>
    <w:rsid w:val="00A42297"/>
    <w:rsid w:val="00A425EA"/>
    <w:rsid w:val="00A42769"/>
    <w:rsid w:val="00A42F86"/>
    <w:rsid w:val="00A42FFD"/>
    <w:rsid w:val="00A4302C"/>
    <w:rsid w:val="00A43352"/>
    <w:rsid w:val="00A433DD"/>
    <w:rsid w:val="00A435CA"/>
    <w:rsid w:val="00A43C65"/>
    <w:rsid w:val="00A43DB1"/>
    <w:rsid w:val="00A43E32"/>
    <w:rsid w:val="00A43E6C"/>
    <w:rsid w:val="00A43E98"/>
    <w:rsid w:val="00A4406B"/>
    <w:rsid w:val="00A443DB"/>
    <w:rsid w:val="00A44628"/>
    <w:rsid w:val="00A4467A"/>
    <w:rsid w:val="00A448E3"/>
    <w:rsid w:val="00A44E4B"/>
    <w:rsid w:val="00A4571A"/>
    <w:rsid w:val="00A45753"/>
    <w:rsid w:val="00A45932"/>
    <w:rsid w:val="00A4594F"/>
    <w:rsid w:val="00A45EB7"/>
    <w:rsid w:val="00A46328"/>
    <w:rsid w:val="00A46391"/>
    <w:rsid w:val="00A46403"/>
    <w:rsid w:val="00A467A1"/>
    <w:rsid w:val="00A4753B"/>
    <w:rsid w:val="00A47674"/>
    <w:rsid w:val="00A4780B"/>
    <w:rsid w:val="00A47894"/>
    <w:rsid w:val="00A47BEC"/>
    <w:rsid w:val="00A506F0"/>
    <w:rsid w:val="00A507F5"/>
    <w:rsid w:val="00A50E80"/>
    <w:rsid w:val="00A51186"/>
    <w:rsid w:val="00A511A5"/>
    <w:rsid w:val="00A51226"/>
    <w:rsid w:val="00A513B7"/>
    <w:rsid w:val="00A516BB"/>
    <w:rsid w:val="00A517BE"/>
    <w:rsid w:val="00A51BB7"/>
    <w:rsid w:val="00A51D74"/>
    <w:rsid w:val="00A51D78"/>
    <w:rsid w:val="00A51E0B"/>
    <w:rsid w:val="00A52019"/>
    <w:rsid w:val="00A523E2"/>
    <w:rsid w:val="00A5256D"/>
    <w:rsid w:val="00A52615"/>
    <w:rsid w:val="00A52626"/>
    <w:rsid w:val="00A5274A"/>
    <w:rsid w:val="00A52996"/>
    <w:rsid w:val="00A52BB2"/>
    <w:rsid w:val="00A52F16"/>
    <w:rsid w:val="00A53025"/>
    <w:rsid w:val="00A531B6"/>
    <w:rsid w:val="00A5341B"/>
    <w:rsid w:val="00A534B6"/>
    <w:rsid w:val="00A53A3E"/>
    <w:rsid w:val="00A53DE5"/>
    <w:rsid w:val="00A53EAF"/>
    <w:rsid w:val="00A543C9"/>
    <w:rsid w:val="00A54C96"/>
    <w:rsid w:val="00A54CDE"/>
    <w:rsid w:val="00A550E2"/>
    <w:rsid w:val="00A550E3"/>
    <w:rsid w:val="00A55360"/>
    <w:rsid w:val="00A5545D"/>
    <w:rsid w:val="00A55540"/>
    <w:rsid w:val="00A5566B"/>
    <w:rsid w:val="00A557E2"/>
    <w:rsid w:val="00A55873"/>
    <w:rsid w:val="00A558F7"/>
    <w:rsid w:val="00A55A5A"/>
    <w:rsid w:val="00A55B94"/>
    <w:rsid w:val="00A55D15"/>
    <w:rsid w:val="00A5616B"/>
    <w:rsid w:val="00A56237"/>
    <w:rsid w:val="00A56520"/>
    <w:rsid w:val="00A56A52"/>
    <w:rsid w:val="00A56A86"/>
    <w:rsid w:val="00A56BC9"/>
    <w:rsid w:val="00A56C3C"/>
    <w:rsid w:val="00A56D0A"/>
    <w:rsid w:val="00A56EAD"/>
    <w:rsid w:val="00A570B9"/>
    <w:rsid w:val="00A5710D"/>
    <w:rsid w:val="00A571C6"/>
    <w:rsid w:val="00A5747E"/>
    <w:rsid w:val="00A578EE"/>
    <w:rsid w:val="00A57A51"/>
    <w:rsid w:val="00A57A62"/>
    <w:rsid w:val="00A57DC0"/>
    <w:rsid w:val="00A57F11"/>
    <w:rsid w:val="00A60310"/>
    <w:rsid w:val="00A6041C"/>
    <w:rsid w:val="00A60619"/>
    <w:rsid w:val="00A60733"/>
    <w:rsid w:val="00A60A75"/>
    <w:rsid w:val="00A610CF"/>
    <w:rsid w:val="00A6121F"/>
    <w:rsid w:val="00A613EB"/>
    <w:rsid w:val="00A6156B"/>
    <w:rsid w:val="00A6174B"/>
    <w:rsid w:val="00A61C8F"/>
    <w:rsid w:val="00A61DFE"/>
    <w:rsid w:val="00A62014"/>
    <w:rsid w:val="00A62230"/>
    <w:rsid w:val="00A62704"/>
    <w:rsid w:val="00A62768"/>
    <w:rsid w:val="00A62BD1"/>
    <w:rsid w:val="00A62DD1"/>
    <w:rsid w:val="00A6341B"/>
    <w:rsid w:val="00A63616"/>
    <w:rsid w:val="00A638D0"/>
    <w:rsid w:val="00A63E59"/>
    <w:rsid w:val="00A63F11"/>
    <w:rsid w:val="00A64241"/>
    <w:rsid w:val="00A644F8"/>
    <w:rsid w:val="00A64A29"/>
    <w:rsid w:val="00A64B9E"/>
    <w:rsid w:val="00A64D51"/>
    <w:rsid w:val="00A64F96"/>
    <w:rsid w:val="00A65369"/>
    <w:rsid w:val="00A654A8"/>
    <w:rsid w:val="00A657C7"/>
    <w:rsid w:val="00A65BC9"/>
    <w:rsid w:val="00A65BF4"/>
    <w:rsid w:val="00A65E20"/>
    <w:rsid w:val="00A65F16"/>
    <w:rsid w:val="00A6615C"/>
    <w:rsid w:val="00A663BD"/>
    <w:rsid w:val="00A66499"/>
    <w:rsid w:val="00A664DC"/>
    <w:rsid w:val="00A66589"/>
    <w:rsid w:val="00A66B81"/>
    <w:rsid w:val="00A673DA"/>
    <w:rsid w:val="00A677D0"/>
    <w:rsid w:val="00A67887"/>
    <w:rsid w:val="00A67B41"/>
    <w:rsid w:val="00A67D65"/>
    <w:rsid w:val="00A701B9"/>
    <w:rsid w:val="00A704BE"/>
    <w:rsid w:val="00A705F4"/>
    <w:rsid w:val="00A70A34"/>
    <w:rsid w:val="00A70B75"/>
    <w:rsid w:val="00A70BE7"/>
    <w:rsid w:val="00A70CF6"/>
    <w:rsid w:val="00A70D4A"/>
    <w:rsid w:val="00A717E6"/>
    <w:rsid w:val="00A71A9B"/>
    <w:rsid w:val="00A71DB6"/>
    <w:rsid w:val="00A72024"/>
    <w:rsid w:val="00A72364"/>
    <w:rsid w:val="00A724C3"/>
    <w:rsid w:val="00A72621"/>
    <w:rsid w:val="00A72B5E"/>
    <w:rsid w:val="00A736E0"/>
    <w:rsid w:val="00A737B7"/>
    <w:rsid w:val="00A73827"/>
    <w:rsid w:val="00A73F00"/>
    <w:rsid w:val="00A73F94"/>
    <w:rsid w:val="00A7439F"/>
    <w:rsid w:val="00A74636"/>
    <w:rsid w:val="00A7465B"/>
    <w:rsid w:val="00A749DB"/>
    <w:rsid w:val="00A74C12"/>
    <w:rsid w:val="00A75208"/>
    <w:rsid w:val="00A75529"/>
    <w:rsid w:val="00A75748"/>
    <w:rsid w:val="00A75AD8"/>
    <w:rsid w:val="00A76828"/>
    <w:rsid w:val="00A76AC0"/>
    <w:rsid w:val="00A76DDD"/>
    <w:rsid w:val="00A77006"/>
    <w:rsid w:val="00A77068"/>
    <w:rsid w:val="00A77272"/>
    <w:rsid w:val="00A772C4"/>
    <w:rsid w:val="00A777E2"/>
    <w:rsid w:val="00A77B06"/>
    <w:rsid w:val="00A77CC4"/>
    <w:rsid w:val="00A77D06"/>
    <w:rsid w:val="00A77EE8"/>
    <w:rsid w:val="00A77F26"/>
    <w:rsid w:val="00A80059"/>
    <w:rsid w:val="00A802F9"/>
    <w:rsid w:val="00A804A6"/>
    <w:rsid w:val="00A80805"/>
    <w:rsid w:val="00A80A03"/>
    <w:rsid w:val="00A80A72"/>
    <w:rsid w:val="00A80BB0"/>
    <w:rsid w:val="00A80DFC"/>
    <w:rsid w:val="00A80EA0"/>
    <w:rsid w:val="00A81181"/>
    <w:rsid w:val="00A812C9"/>
    <w:rsid w:val="00A817F4"/>
    <w:rsid w:val="00A81901"/>
    <w:rsid w:val="00A81950"/>
    <w:rsid w:val="00A81A22"/>
    <w:rsid w:val="00A81AE0"/>
    <w:rsid w:val="00A81B5D"/>
    <w:rsid w:val="00A81C75"/>
    <w:rsid w:val="00A8215B"/>
    <w:rsid w:val="00A82A51"/>
    <w:rsid w:val="00A830E2"/>
    <w:rsid w:val="00A839D2"/>
    <w:rsid w:val="00A83B12"/>
    <w:rsid w:val="00A83CBB"/>
    <w:rsid w:val="00A83D13"/>
    <w:rsid w:val="00A83D57"/>
    <w:rsid w:val="00A83FF4"/>
    <w:rsid w:val="00A840EF"/>
    <w:rsid w:val="00A84827"/>
    <w:rsid w:val="00A84AEB"/>
    <w:rsid w:val="00A84E52"/>
    <w:rsid w:val="00A84E71"/>
    <w:rsid w:val="00A85016"/>
    <w:rsid w:val="00A850F1"/>
    <w:rsid w:val="00A8567B"/>
    <w:rsid w:val="00A85928"/>
    <w:rsid w:val="00A85FD4"/>
    <w:rsid w:val="00A860AD"/>
    <w:rsid w:val="00A863E0"/>
    <w:rsid w:val="00A8681E"/>
    <w:rsid w:val="00A86E0B"/>
    <w:rsid w:val="00A86EE2"/>
    <w:rsid w:val="00A870AD"/>
    <w:rsid w:val="00A871AC"/>
    <w:rsid w:val="00A876FE"/>
    <w:rsid w:val="00A8776A"/>
    <w:rsid w:val="00A87787"/>
    <w:rsid w:val="00A87C36"/>
    <w:rsid w:val="00A9074F"/>
    <w:rsid w:val="00A90779"/>
    <w:rsid w:val="00A91169"/>
    <w:rsid w:val="00A91311"/>
    <w:rsid w:val="00A9131A"/>
    <w:rsid w:val="00A91557"/>
    <w:rsid w:val="00A915C0"/>
    <w:rsid w:val="00A9176F"/>
    <w:rsid w:val="00A91775"/>
    <w:rsid w:val="00A91787"/>
    <w:rsid w:val="00A918A0"/>
    <w:rsid w:val="00A91A17"/>
    <w:rsid w:val="00A91B21"/>
    <w:rsid w:val="00A91D47"/>
    <w:rsid w:val="00A921B9"/>
    <w:rsid w:val="00A922D8"/>
    <w:rsid w:val="00A927F2"/>
    <w:rsid w:val="00A9287C"/>
    <w:rsid w:val="00A92C6A"/>
    <w:rsid w:val="00A92D07"/>
    <w:rsid w:val="00A93073"/>
    <w:rsid w:val="00A93514"/>
    <w:rsid w:val="00A9353A"/>
    <w:rsid w:val="00A9394E"/>
    <w:rsid w:val="00A93993"/>
    <w:rsid w:val="00A93EC5"/>
    <w:rsid w:val="00A93F33"/>
    <w:rsid w:val="00A94088"/>
    <w:rsid w:val="00A94107"/>
    <w:rsid w:val="00A942C3"/>
    <w:rsid w:val="00A9441F"/>
    <w:rsid w:val="00A94E2B"/>
    <w:rsid w:val="00A94EFE"/>
    <w:rsid w:val="00A94FAC"/>
    <w:rsid w:val="00A9509E"/>
    <w:rsid w:val="00A950D3"/>
    <w:rsid w:val="00A95431"/>
    <w:rsid w:val="00A961D0"/>
    <w:rsid w:val="00A9673B"/>
    <w:rsid w:val="00A96B7B"/>
    <w:rsid w:val="00A96D73"/>
    <w:rsid w:val="00A974DD"/>
    <w:rsid w:val="00A97576"/>
    <w:rsid w:val="00A975F5"/>
    <w:rsid w:val="00A97CD7"/>
    <w:rsid w:val="00AA0057"/>
    <w:rsid w:val="00AA0161"/>
    <w:rsid w:val="00AA01F1"/>
    <w:rsid w:val="00AA0B87"/>
    <w:rsid w:val="00AA0E8C"/>
    <w:rsid w:val="00AA0F82"/>
    <w:rsid w:val="00AA102E"/>
    <w:rsid w:val="00AA1051"/>
    <w:rsid w:val="00AA1391"/>
    <w:rsid w:val="00AA1AD6"/>
    <w:rsid w:val="00AA1EAD"/>
    <w:rsid w:val="00AA23FE"/>
    <w:rsid w:val="00AA2AB5"/>
    <w:rsid w:val="00AA2BA9"/>
    <w:rsid w:val="00AA34D9"/>
    <w:rsid w:val="00AA362B"/>
    <w:rsid w:val="00AA3B10"/>
    <w:rsid w:val="00AA3C67"/>
    <w:rsid w:val="00AA4291"/>
    <w:rsid w:val="00AA44FF"/>
    <w:rsid w:val="00AA4527"/>
    <w:rsid w:val="00AA4A1D"/>
    <w:rsid w:val="00AA4E4D"/>
    <w:rsid w:val="00AA51BB"/>
    <w:rsid w:val="00AA52EA"/>
    <w:rsid w:val="00AA5D17"/>
    <w:rsid w:val="00AA625C"/>
    <w:rsid w:val="00AA6614"/>
    <w:rsid w:val="00AA68F1"/>
    <w:rsid w:val="00AA69E2"/>
    <w:rsid w:val="00AA6AD1"/>
    <w:rsid w:val="00AA6BBB"/>
    <w:rsid w:val="00AA6BC1"/>
    <w:rsid w:val="00AA6EBE"/>
    <w:rsid w:val="00AA6F69"/>
    <w:rsid w:val="00AA7388"/>
    <w:rsid w:val="00AA73E7"/>
    <w:rsid w:val="00AA752C"/>
    <w:rsid w:val="00AA761C"/>
    <w:rsid w:val="00AA77C3"/>
    <w:rsid w:val="00AA78C2"/>
    <w:rsid w:val="00AA79BD"/>
    <w:rsid w:val="00AA7D36"/>
    <w:rsid w:val="00AA7E2B"/>
    <w:rsid w:val="00AA7F41"/>
    <w:rsid w:val="00AB0534"/>
    <w:rsid w:val="00AB072A"/>
    <w:rsid w:val="00AB0747"/>
    <w:rsid w:val="00AB0CFE"/>
    <w:rsid w:val="00AB0F93"/>
    <w:rsid w:val="00AB0FF8"/>
    <w:rsid w:val="00AB14C2"/>
    <w:rsid w:val="00AB164E"/>
    <w:rsid w:val="00AB16F2"/>
    <w:rsid w:val="00AB1866"/>
    <w:rsid w:val="00AB1A8C"/>
    <w:rsid w:val="00AB1F1D"/>
    <w:rsid w:val="00AB1F48"/>
    <w:rsid w:val="00AB1FB7"/>
    <w:rsid w:val="00AB265E"/>
    <w:rsid w:val="00AB28FF"/>
    <w:rsid w:val="00AB301D"/>
    <w:rsid w:val="00AB3528"/>
    <w:rsid w:val="00AB3C7B"/>
    <w:rsid w:val="00AB4094"/>
    <w:rsid w:val="00AB4456"/>
    <w:rsid w:val="00AB4602"/>
    <w:rsid w:val="00AB49C7"/>
    <w:rsid w:val="00AB4B44"/>
    <w:rsid w:val="00AB4C8A"/>
    <w:rsid w:val="00AB4DA6"/>
    <w:rsid w:val="00AB5652"/>
    <w:rsid w:val="00AB567F"/>
    <w:rsid w:val="00AB57DF"/>
    <w:rsid w:val="00AB580D"/>
    <w:rsid w:val="00AB5C81"/>
    <w:rsid w:val="00AB5E9A"/>
    <w:rsid w:val="00AB6199"/>
    <w:rsid w:val="00AB61F8"/>
    <w:rsid w:val="00AB62A6"/>
    <w:rsid w:val="00AB685A"/>
    <w:rsid w:val="00AB68AD"/>
    <w:rsid w:val="00AB6BA0"/>
    <w:rsid w:val="00AB6E7C"/>
    <w:rsid w:val="00AB6F7E"/>
    <w:rsid w:val="00AB71EB"/>
    <w:rsid w:val="00AB72A7"/>
    <w:rsid w:val="00AB769E"/>
    <w:rsid w:val="00AB77C7"/>
    <w:rsid w:val="00AB79B8"/>
    <w:rsid w:val="00AB7A86"/>
    <w:rsid w:val="00AB7D91"/>
    <w:rsid w:val="00AC01D8"/>
    <w:rsid w:val="00AC0692"/>
    <w:rsid w:val="00AC0749"/>
    <w:rsid w:val="00AC09C1"/>
    <w:rsid w:val="00AC0C87"/>
    <w:rsid w:val="00AC0D49"/>
    <w:rsid w:val="00AC0DBA"/>
    <w:rsid w:val="00AC0F07"/>
    <w:rsid w:val="00AC113A"/>
    <w:rsid w:val="00AC120C"/>
    <w:rsid w:val="00AC12C6"/>
    <w:rsid w:val="00AC1773"/>
    <w:rsid w:val="00AC1AF4"/>
    <w:rsid w:val="00AC1B52"/>
    <w:rsid w:val="00AC1F2B"/>
    <w:rsid w:val="00AC1FAE"/>
    <w:rsid w:val="00AC1FF8"/>
    <w:rsid w:val="00AC2725"/>
    <w:rsid w:val="00AC27EB"/>
    <w:rsid w:val="00AC2A63"/>
    <w:rsid w:val="00AC32A2"/>
    <w:rsid w:val="00AC3562"/>
    <w:rsid w:val="00AC366C"/>
    <w:rsid w:val="00AC396E"/>
    <w:rsid w:val="00AC398B"/>
    <w:rsid w:val="00AC40B4"/>
    <w:rsid w:val="00AC4D15"/>
    <w:rsid w:val="00AC518C"/>
    <w:rsid w:val="00AC5800"/>
    <w:rsid w:val="00AC58EA"/>
    <w:rsid w:val="00AC5994"/>
    <w:rsid w:val="00AC5F07"/>
    <w:rsid w:val="00AC6726"/>
    <w:rsid w:val="00AC6DBC"/>
    <w:rsid w:val="00AC74D1"/>
    <w:rsid w:val="00AC752B"/>
    <w:rsid w:val="00AC7AAB"/>
    <w:rsid w:val="00AC7E35"/>
    <w:rsid w:val="00AD06A7"/>
    <w:rsid w:val="00AD0BC8"/>
    <w:rsid w:val="00AD0BD7"/>
    <w:rsid w:val="00AD0EF1"/>
    <w:rsid w:val="00AD0F17"/>
    <w:rsid w:val="00AD1443"/>
    <w:rsid w:val="00AD15D1"/>
    <w:rsid w:val="00AD164D"/>
    <w:rsid w:val="00AD18BF"/>
    <w:rsid w:val="00AD19B9"/>
    <w:rsid w:val="00AD1A8C"/>
    <w:rsid w:val="00AD20BF"/>
    <w:rsid w:val="00AD221F"/>
    <w:rsid w:val="00AD2345"/>
    <w:rsid w:val="00AD2502"/>
    <w:rsid w:val="00AD31BC"/>
    <w:rsid w:val="00AD3D28"/>
    <w:rsid w:val="00AD3DEB"/>
    <w:rsid w:val="00AD3EB8"/>
    <w:rsid w:val="00AD3F7B"/>
    <w:rsid w:val="00AD3F9E"/>
    <w:rsid w:val="00AD41FB"/>
    <w:rsid w:val="00AD4371"/>
    <w:rsid w:val="00AD45E2"/>
    <w:rsid w:val="00AD4730"/>
    <w:rsid w:val="00AD484A"/>
    <w:rsid w:val="00AD48AF"/>
    <w:rsid w:val="00AD4EC7"/>
    <w:rsid w:val="00AD5108"/>
    <w:rsid w:val="00AD533F"/>
    <w:rsid w:val="00AD5485"/>
    <w:rsid w:val="00AD57D3"/>
    <w:rsid w:val="00AD597C"/>
    <w:rsid w:val="00AD5A15"/>
    <w:rsid w:val="00AD63BE"/>
    <w:rsid w:val="00AD6628"/>
    <w:rsid w:val="00AD695B"/>
    <w:rsid w:val="00AD6D20"/>
    <w:rsid w:val="00AD75D9"/>
    <w:rsid w:val="00AD7841"/>
    <w:rsid w:val="00AD7C7B"/>
    <w:rsid w:val="00AD7E0D"/>
    <w:rsid w:val="00AD7F6A"/>
    <w:rsid w:val="00AE01CD"/>
    <w:rsid w:val="00AE0477"/>
    <w:rsid w:val="00AE05A2"/>
    <w:rsid w:val="00AE0E11"/>
    <w:rsid w:val="00AE0F2D"/>
    <w:rsid w:val="00AE12AC"/>
    <w:rsid w:val="00AE13E5"/>
    <w:rsid w:val="00AE13F1"/>
    <w:rsid w:val="00AE1425"/>
    <w:rsid w:val="00AE14B7"/>
    <w:rsid w:val="00AE1916"/>
    <w:rsid w:val="00AE1ED1"/>
    <w:rsid w:val="00AE261F"/>
    <w:rsid w:val="00AE2880"/>
    <w:rsid w:val="00AE2D3B"/>
    <w:rsid w:val="00AE2EB8"/>
    <w:rsid w:val="00AE36D8"/>
    <w:rsid w:val="00AE3F32"/>
    <w:rsid w:val="00AE496B"/>
    <w:rsid w:val="00AE5A42"/>
    <w:rsid w:val="00AE5C44"/>
    <w:rsid w:val="00AE5C84"/>
    <w:rsid w:val="00AE5F84"/>
    <w:rsid w:val="00AE6D1C"/>
    <w:rsid w:val="00AE7595"/>
    <w:rsid w:val="00AE7958"/>
    <w:rsid w:val="00AE7993"/>
    <w:rsid w:val="00AE7FA6"/>
    <w:rsid w:val="00AF03C0"/>
    <w:rsid w:val="00AF0609"/>
    <w:rsid w:val="00AF0832"/>
    <w:rsid w:val="00AF0970"/>
    <w:rsid w:val="00AF0A08"/>
    <w:rsid w:val="00AF0CDC"/>
    <w:rsid w:val="00AF1943"/>
    <w:rsid w:val="00AF1C22"/>
    <w:rsid w:val="00AF1CD2"/>
    <w:rsid w:val="00AF20E6"/>
    <w:rsid w:val="00AF2154"/>
    <w:rsid w:val="00AF2187"/>
    <w:rsid w:val="00AF218F"/>
    <w:rsid w:val="00AF23F1"/>
    <w:rsid w:val="00AF2714"/>
    <w:rsid w:val="00AF2B1C"/>
    <w:rsid w:val="00AF3328"/>
    <w:rsid w:val="00AF362B"/>
    <w:rsid w:val="00AF387B"/>
    <w:rsid w:val="00AF417B"/>
    <w:rsid w:val="00AF41AB"/>
    <w:rsid w:val="00AF426F"/>
    <w:rsid w:val="00AF4587"/>
    <w:rsid w:val="00AF4B3B"/>
    <w:rsid w:val="00AF4C4A"/>
    <w:rsid w:val="00AF4C94"/>
    <w:rsid w:val="00AF4E81"/>
    <w:rsid w:val="00AF4F42"/>
    <w:rsid w:val="00AF53E2"/>
    <w:rsid w:val="00AF547D"/>
    <w:rsid w:val="00AF54AE"/>
    <w:rsid w:val="00AF5A2B"/>
    <w:rsid w:val="00AF5C1F"/>
    <w:rsid w:val="00AF6228"/>
    <w:rsid w:val="00AF6245"/>
    <w:rsid w:val="00AF634F"/>
    <w:rsid w:val="00AF6989"/>
    <w:rsid w:val="00AF6D92"/>
    <w:rsid w:val="00AF6F27"/>
    <w:rsid w:val="00AF7401"/>
    <w:rsid w:val="00AF7579"/>
    <w:rsid w:val="00AF78FC"/>
    <w:rsid w:val="00AF7909"/>
    <w:rsid w:val="00B0004E"/>
    <w:rsid w:val="00B0042F"/>
    <w:rsid w:val="00B00683"/>
    <w:rsid w:val="00B00935"/>
    <w:rsid w:val="00B00E3E"/>
    <w:rsid w:val="00B0108E"/>
    <w:rsid w:val="00B012F6"/>
    <w:rsid w:val="00B01447"/>
    <w:rsid w:val="00B01475"/>
    <w:rsid w:val="00B016EB"/>
    <w:rsid w:val="00B019A8"/>
    <w:rsid w:val="00B01AB2"/>
    <w:rsid w:val="00B01CFF"/>
    <w:rsid w:val="00B01E3A"/>
    <w:rsid w:val="00B01F3C"/>
    <w:rsid w:val="00B020FC"/>
    <w:rsid w:val="00B02276"/>
    <w:rsid w:val="00B024FA"/>
    <w:rsid w:val="00B0272F"/>
    <w:rsid w:val="00B032A5"/>
    <w:rsid w:val="00B033BC"/>
    <w:rsid w:val="00B036DE"/>
    <w:rsid w:val="00B037EB"/>
    <w:rsid w:val="00B039AB"/>
    <w:rsid w:val="00B03E09"/>
    <w:rsid w:val="00B04230"/>
    <w:rsid w:val="00B04817"/>
    <w:rsid w:val="00B04ED0"/>
    <w:rsid w:val="00B0502D"/>
    <w:rsid w:val="00B050E6"/>
    <w:rsid w:val="00B051DD"/>
    <w:rsid w:val="00B052E8"/>
    <w:rsid w:val="00B052F6"/>
    <w:rsid w:val="00B053E0"/>
    <w:rsid w:val="00B054FB"/>
    <w:rsid w:val="00B05F47"/>
    <w:rsid w:val="00B05F80"/>
    <w:rsid w:val="00B0661B"/>
    <w:rsid w:val="00B068F2"/>
    <w:rsid w:val="00B069EE"/>
    <w:rsid w:val="00B06B5C"/>
    <w:rsid w:val="00B06B8A"/>
    <w:rsid w:val="00B06C18"/>
    <w:rsid w:val="00B073E4"/>
    <w:rsid w:val="00B0781F"/>
    <w:rsid w:val="00B079B4"/>
    <w:rsid w:val="00B07B4D"/>
    <w:rsid w:val="00B1017C"/>
    <w:rsid w:val="00B1030A"/>
    <w:rsid w:val="00B10587"/>
    <w:rsid w:val="00B10718"/>
    <w:rsid w:val="00B107B7"/>
    <w:rsid w:val="00B10916"/>
    <w:rsid w:val="00B10AA0"/>
    <w:rsid w:val="00B11035"/>
    <w:rsid w:val="00B1111B"/>
    <w:rsid w:val="00B11545"/>
    <w:rsid w:val="00B1180D"/>
    <w:rsid w:val="00B11AEC"/>
    <w:rsid w:val="00B11B34"/>
    <w:rsid w:val="00B12465"/>
    <w:rsid w:val="00B12648"/>
    <w:rsid w:val="00B12802"/>
    <w:rsid w:val="00B1292C"/>
    <w:rsid w:val="00B12B1F"/>
    <w:rsid w:val="00B12E79"/>
    <w:rsid w:val="00B134E9"/>
    <w:rsid w:val="00B13853"/>
    <w:rsid w:val="00B1392C"/>
    <w:rsid w:val="00B13D7D"/>
    <w:rsid w:val="00B13FEE"/>
    <w:rsid w:val="00B146BA"/>
    <w:rsid w:val="00B146FE"/>
    <w:rsid w:val="00B14B2F"/>
    <w:rsid w:val="00B14D13"/>
    <w:rsid w:val="00B15633"/>
    <w:rsid w:val="00B156E0"/>
    <w:rsid w:val="00B15A1F"/>
    <w:rsid w:val="00B15B6F"/>
    <w:rsid w:val="00B15DDC"/>
    <w:rsid w:val="00B16130"/>
    <w:rsid w:val="00B1620A"/>
    <w:rsid w:val="00B168FC"/>
    <w:rsid w:val="00B16BFB"/>
    <w:rsid w:val="00B16D36"/>
    <w:rsid w:val="00B16E73"/>
    <w:rsid w:val="00B17AB1"/>
    <w:rsid w:val="00B17ACC"/>
    <w:rsid w:val="00B17B34"/>
    <w:rsid w:val="00B17C71"/>
    <w:rsid w:val="00B17F0D"/>
    <w:rsid w:val="00B20A95"/>
    <w:rsid w:val="00B21047"/>
    <w:rsid w:val="00B211B4"/>
    <w:rsid w:val="00B2195F"/>
    <w:rsid w:val="00B21EA6"/>
    <w:rsid w:val="00B22101"/>
    <w:rsid w:val="00B222BD"/>
    <w:rsid w:val="00B222EA"/>
    <w:rsid w:val="00B224D6"/>
    <w:rsid w:val="00B225BE"/>
    <w:rsid w:val="00B22875"/>
    <w:rsid w:val="00B22A5B"/>
    <w:rsid w:val="00B22EAC"/>
    <w:rsid w:val="00B233A3"/>
    <w:rsid w:val="00B23469"/>
    <w:rsid w:val="00B235D8"/>
    <w:rsid w:val="00B2360B"/>
    <w:rsid w:val="00B237C8"/>
    <w:rsid w:val="00B23AEB"/>
    <w:rsid w:val="00B24520"/>
    <w:rsid w:val="00B24749"/>
    <w:rsid w:val="00B24B2F"/>
    <w:rsid w:val="00B24E9D"/>
    <w:rsid w:val="00B25248"/>
    <w:rsid w:val="00B25B26"/>
    <w:rsid w:val="00B25D46"/>
    <w:rsid w:val="00B26682"/>
    <w:rsid w:val="00B267D1"/>
    <w:rsid w:val="00B269E7"/>
    <w:rsid w:val="00B26A8C"/>
    <w:rsid w:val="00B2702E"/>
    <w:rsid w:val="00B27049"/>
    <w:rsid w:val="00B27701"/>
    <w:rsid w:val="00B279FD"/>
    <w:rsid w:val="00B27CD5"/>
    <w:rsid w:val="00B303C5"/>
    <w:rsid w:val="00B30992"/>
    <w:rsid w:val="00B30CA4"/>
    <w:rsid w:val="00B310DE"/>
    <w:rsid w:val="00B313B7"/>
    <w:rsid w:val="00B316D3"/>
    <w:rsid w:val="00B3176E"/>
    <w:rsid w:val="00B31770"/>
    <w:rsid w:val="00B317D5"/>
    <w:rsid w:val="00B3208C"/>
    <w:rsid w:val="00B321E0"/>
    <w:rsid w:val="00B3262D"/>
    <w:rsid w:val="00B32885"/>
    <w:rsid w:val="00B329E0"/>
    <w:rsid w:val="00B32E07"/>
    <w:rsid w:val="00B32FDC"/>
    <w:rsid w:val="00B33609"/>
    <w:rsid w:val="00B33828"/>
    <w:rsid w:val="00B33C54"/>
    <w:rsid w:val="00B33D7B"/>
    <w:rsid w:val="00B33ED7"/>
    <w:rsid w:val="00B34416"/>
    <w:rsid w:val="00B34560"/>
    <w:rsid w:val="00B348AF"/>
    <w:rsid w:val="00B34AA5"/>
    <w:rsid w:val="00B35260"/>
    <w:rsid w:val="00B35578"/>
    <w:rsid w:val="00B35751"/>
    <w:rsid w:val="00B359D6"/>
    <w:rsid w:val="00B35BBF"/>
    <w:rsid w:val="00B35C83"/>
    <w:rsid w:val="00B35E3D"/>
    <w:rsid w:val="00B35F98"/>
    <w:rsid w:val="00B3634E"/>
    <w:rsid w:val="00B366D5"/>
    <w:rsid w:val="00B36879"/>
    <w:rsid w:val="00B36AA3"/>
    <w:rsid w:val="00B36E27"/>
    <w:rsid w:val="00B37025"/>
    <w:rsid w:val="00B3738B"/>
    <w:rsid w:val="00B373B2"/>
    <w:rsid w:val="00B375B7"/>
    <w:rsid w:val="00B37867"/>
    <w:rsid w:val="00B37CE4"/>
    <w:rsid w:val="00B37DCC"/>
    <w:rsid w:val="00B37E58"/>
    <w:rsid w:val="00B40280"/>
    <w:rsid w:val="00B40284"/>
    <w:rsid w:val="00B406A9"/>
    <w:rsid w:val="00B40745"/>
    <w:rsid w:val="00B40A7D"/>
    <w:rsid w:val="00B40B5B"/>
    <w:rsid w:val="00B40D79"/>
    <w:rsid w:val="00B41017"/>
    <w:rsid w:val="00B418FE"/>
    <w:rsid w:val="00B41A68"/>
    <w:rsid w:val="00B42C19"/>
    <w:rsid w:val="00B42D42"/>
    <w:rsid w:val="00B42EBC"/>
    <w:rsid w:val="00B4331B"/>
    <w:rsid w:val="00B43352"/>
    <w:rsid w:val="00B43530"/>
    <w:rsid w:val="00B44034"/>
    <w:rsid w:val="00B44325"/>
    <w:rsid w:val="00B4432B"/>
    <w:rsid w:val="00B44424"/>
    <w:rsid w:val="00B44495"/>
    <w:rsid w:val="00B445FE"/>
    <w:rsid w:val="00B4470B"/>
    <w:rsid w:val="00B44BDE"/>
    <w:rsid w:val="00B44FE0"/>
    <w:rsid w:val="00B45353"/>
    <w:rsid w:val="00B4584C"/>
    <w:rsid w:val="00B45BAE"/>
    <w:rsid w:val="00B45EB2"/>
    <w:rsid w:val="00B466F5"/>
    <w:rsid w:val="00B46A75"/>
    <w:rsid w:val="00B46DA0"/>
    <w:rsid w:val="00B46E59"/>
    <w:rsid w:val="00B46EAE"/>
    <w:rsid w:val="00B471A0"/>
    <w:rsid w:val="00B472E3"/>
    <w:rsid w:val="00B475B9"/>
    <w:rsid w:val="00B47D81"/>
    <w:rsid w:val="00B503FC"/>
    <w:rsid w:val="00B50694"/>
    <w:rsid w:val="00B5077D"/>
    <w:rsid w:val="00B50F9D"/>
    <w:rsid w:val="00B512A0"/>
    <w:rsid w:val="00B51948"/>
    <w:rsid w:val="00B51A6D"/>
    <w:rsid w:val="00B51AEA"/>
    <w:rsid w:val="00B51C76"/>
    <w:rsid w:val="00B51FF8"/>
    <w:rsid w:val="00B53012"/>
    <w:rsid w:val="00B53053"/>
    <w:rsid w:val="00B53136"/>
    <w:rsid w:val="00B5326F"/>
    <w:rsid w:val="00B53366"/>
    <w:rsid w:val="00B53A88"/>
    <w:rsid w:val="00B53C3D"/>
    <w:rsid w:val="00B5410B"/>
    <w:rsid w:val="00B54269"/>
    <w:rsid w:val="00B54291"/>
    <w:rsid w:val="00B5445D"/>
    <w:rsid w:val="00B54470"/>
    <w:rsid w:val="00B5468D"/>
    <w:rsid w:val="00B54C09"/>
    <w:rsid w:val="00B54D7F"/>
    <w:rsid w:val="00B54F75"/>
    <w:rsid w:val="00B55173"/>
    <w:rsid w:val="00B5554A"/>
    <w:rsid w:val="00B55599"/>
    <w:rsid w:val="00B5559D"/>
    <w:rsid w:val="00B55B12"/>
    <w:rsid w:val="00B55D07"/>
    <w:rsid w:val="00B55E68"/>
    <w:rsid w:val="00B55EFA"/>
    <w:rsid w:val="00B56176"/>
    <w:rsid w:val="00B56215"/>
    <w:rsid w:val="00B5692E"/>
    <w:rsid w:val="00B56C0F"/>
    <w:rsid w:val="00B5700F"/>
    <w:rsid w:val="00B571A4"/>
    <w:rsid w:val="00B571C2"/>
    <w:rsid w:val="00B575A9"/>
    <w:rsid w:val="00B5772F"/>
    <w:rsid w:val="00B578CC"/>
    <w:rsid w:val="00B57A42"/>
    <w:rsid w:val="00B57C2A"/>
    <w:rsid w:val="00B57C72"/>
    <w:rsid w:val="00B60348"/>
    <w:rsid w:val="00B60383"/>
    <w:rsid w:val="00B606C0"/>
    <w:rsid w:val="00B6075B"/>
    <w:rsid w:val="00B60800"/>
    <w:rsid w:val="00B60B9D"/>
    <w:rsid w:val="00B60C1D"/>
    <w:rsid w:val="00B60E3A"/>
    <w:rsid w:val="00B6110C"/>
    <w:rsid w:val="00B61811"/>
    <w:rsid w:val="00B618B7"/>
    <w:rsid w:val="00B61B81"/>
    <w:rsid w:val="00B61F8B"/>
    <w:rsid w:val="00B62487"/>
    <w:rsid w:val="00B628A8"/>
    <w:rsid w:val="00B62B98"/>
    <w:rsid w:val="00B62C90"/>
    <w:rsid w:val="00B62D2C"/>
    <w:rsid w:val="00B630B7"/>
    <w:rsid w:val="00B6322E"/>
    <w:rsid w:val="00B638C6"/>
    <w:rsid w:val="00B63C31"/>
    <w:rsid w:val="00B64048"/>
    <w:rsid w:val="00B641AF"/>
    <w:rsid w:val="00B64923"/>
    <w:rsid w:val="00B649D2"/>
    <w:rsid w:val="00B64B32"/>
    <w:rsid w:val="00B64D86"/>
    <w:rsid w:val="00B6511F"/>
    <w:rsid w:val="00B6530C"/>
    <w:rsid w:val="00B655E5"/>
    <w:rsid w:val="00B65656"/>
    <w:rsid w:val="00B65C61"/>
    <w:rsid w:val="00B6623C"/>
    <w:rsid w:val="00B662BD"/>
    <w:rsid w:val="00B66456"/>
    <w:rsid w:val="00B669D4"/>
    <w:rsid w:val="00B67481"/>
    <w:rsid w:val="00B674A8"/>
    <w:rsid w:val="00B678B6"/>
    <w:rsid w:val="00B6799A"/>
    <w:rsid w:val="00B70006"/>
    <w:rsid w:val="00B70BBB"/>
    <w:rsid w:val="00B71004"/>
    <w:rsid w:val="00B71079"/>
    <w:rsid w:val="00B710E6"/>
    <w:rsid w:val="00B71623"/>
    <w:rsid w:val="00B719E2"/>
    <w:rsid w:val="00B71EB1"/>
    <w:rsid w:val="00B72161"/>
    <w:rsid w:val="00B723D5"/>
    <w:rsid w:val="00B72495"/>
    <w:rsid w:val="00B72825"/>
    <w:rsid w:val="00B729B7"/>
    <w:rsid w:val="00B72AF5"/>
    <w:rsid w:val="00B730FC"/>
    <w:rsid w:val="00B73240"/>
    <w:rsid w:val="00B73870"/>
    <w:rsid w:val="00B743B9"/>
    <w:rsid w:val="00B74484"/>
    <w:rsid w:val="00B7451A"/>
    <w:rsid w:val="00B7451D"/>
    <w:rsid w:val="00B745F3"/>
    <w:rsid w:val="00B747AA"/>
    <w:rsid w:val="00B74808"/>
    <w:rsid w:val="00B74B69"/>
    <w:rsid w:val="00B74B99"/>
    <w:rsid w:val="00B74D1C"/>
    <w:rsid w:val="00B74D65"/>
    <w:rsid w:val="00B74FFF"/>
    <w:rsid w:val="00B75F07"/>
    <w:rsid w:val="00B76061"/>
    <w:rsid w:val="00B763BF"/>
    <w:rsid w:val="00B76488"/>
    <w:rsid w:val="00B76FF4"/>
    <w:rsid w:val="00B771E4"/>
    <w:rsid w:val="00B7748E"/>
    <w:rsid w:val="00B7781F"/>
    <w:rsid w:val="00B7785B"/>
    <w:rsid w:val="00B77AA6"/>
    <w:rsid w:val="00B77E8A"/>
    <w:rsid w:val="00B8063A"/>
    <w:rsid w:val="00B80D01"/>
    <w:rsid w:val="00B811E7"/>
    <w:rsid w:val="00B8151C"/>
    <w:rsid w:val="00B815AE"/>
    <w:rsid w:val="00B81938"/>
    <w:rsid w:val="00B81B81"/>
    <w:rsid w:val="00B81E11"/>
    <w:rsid w:val="00B824E4"/>
    <w:rsid w:val="00B82522"/>
    <w:rsid w:val="00B828F0"/>
    <w:rsid w:val="00B82C44"/>
    <w:rsid w:val="00B83001"/>
    <w:rsid w:val="00B83349"/>
    <w:rsid w:val="00B8368D"/>
    <w:rsid w:val="00B838A1"/>
    <w:rsid w:val="00B83B51"/>
    <w:rsid w:val="00B8411E"/>
    <w:rsid w:val="00B84491"/>
    <w:rsid w:val="00B845C2"/>
    <w:rsid w:val="00B84B7E"/>
    <w:rsid w:val="00B84FDD"/>
    <w:rsid w:val="00B854D6"/>
    <w:rsid w:val="00B85E0B"/>
    <w:rsid w:val="00B8621B"/>
    <w:rsid w:val="00B86281"/>
    <w:rsid w:val="00B863AA"/>
    <w:rsid w:val="00B86465"/>
    <w:rsid w:val="00B86539"/>
    <w:rsid w:val="00B865A1"/>
    <w:rsid w:val="00B86B3F"/>
    <w:rsid w:val="00B86BF6"/>
    <w:rsid w:val="00B86DC4"/>
    <w:rsid w:val="00B8716D"/>
    <w:rsid w:val="00B877F8"/>
    <w:rsid w:val="00B900C4"/>
    <w:rsid w:val="00B90460"/>
    <w:rsid w:val="00B904AD"/>
    <w:rsid w:val="00B90660"/>
    <w:rsid w:val="00B9096E"/>
    <w:rsid w:val="00B909A2"/>
    <w:rsid w:val="00B909F8"/>
    <w:rsid w:val="00B90C9E"/>
    <w:rsid w:val="00B90ED5"/>
    <w:rsid w:val="00B914BA"/>
    <w:rsid w:val="00B914C6"/>
    <w:rsid w:val="00B91703"/>
    <w:rsid w:val="00B91A91"/>
    <w:rsid w:val="00B91D25"/>
    <w:rsid w:val="00B91E6F"/>
    <w:rsid w:val="00B92434"/>
    <w:rsid w:val="00B92A76"/>
    <w:rsid w:val="00B92A92"/>
    <w:rsid w:val="00B92DF9"/>
    <w:rsid w:val="00B93442"/>
    <w:rsid w:val="00B93894"/>
    <w:rsid w:val="00B93B02"/>
    <w:rsid w:val="00B93CA5"/>
    <w:rsid w:val="00B94294"/>
    <w:rsid w:val="00B9437E"/>
    <w:rsid w:val="00B94595"/>
    <w:rsid w:val="00B94986"/>
    <w:rsid w:val="00B94A7A"/>
    <w:rsid w:val="00B94A98"/>
    <w:rsid w:val="00B94B34"/>
    <w:rsid w:val="00B94B36"/>
    <w:rsid w:val="00B95060"/>
    <w:rsid w:val="00B95149"/>
    <w:rsid w:val="00B95591"/>
    <w:rsid w:val="00B9595A"/>
    <w:rsid w:val="00B95DF2"/>
    <w:rsid w:val="00B95F34"/>
    <w:rsid w:val="00B96058"/>
    <w:rsid w:val="00B9611A"/>
    <w:rsid w:val="00B961B2"/>
    <w:rsid w:val="00B9633C"/>
    <w:rsid w:val="00B9658E"/>
    <w:rsid w:val="00B96865"/>
    <w:rsid w:val="00B96B52"/>
    <w:rsid w:val="00B9722F"/>
    <w:rsid w:val="00B97385"/>
    <w:rsid w:val="00B97D7F"/>
    <w:rsid w:val="00BA06F9"/>
    <w:rsid w:val="00BA0977"/>
    <w:rsid w:val="00BA0AE8"/>
    <w:rsid w:val="00BA0AF5"/>
    <w:rsid w:val="00BA10E3"/>
    <w:rsid w:val="00BA11A3"/>
    <w:rsid w:val="00BA122C"/>
    <w:rsid w:val="00BA1509"/>
    <w:rsid w:val="00BA18B9"/>
    <w:rsid w:val="00BA194A"/>
    <w:rsid w:val="00BA1AFA"/>
    <w:rsid w:val="00BA255E"/>
    <w:rsid w:val="00BA2996"/>
    <w:rsid w:val="00BA2AE1"/>
    <w:rsid w:val="00BA2B83"/>
    <w:rsid w:val="00BA2B89"/>
    <w:rsid w:val="00BA2CD5"/>
    <w:rsid w:val="00BA2ED3"/>
    <w:rsid w:val="00BA2F4D"/>
    <w:rsid w:val="00BA2F7B"/>
    <w:rsid w:val="00BA2FB7"/>
    <w:rsid w:val="00BA3259"/>
    <w:rsid w:val="00BA3479"/>
    <w:rsid w:val="00BA347B"/>
    <w:rsid w:val="00BA3B34"/>
    <w:rsid w:val="00BA3C2C"/>
    <w:rsid w:val="00BA3E34"/>
    <w:rsid w:val="00BA3E8A"/>
    <w:rsid w:val="00BA3E99"/>
    <w:rsid w:val="00BA4080"/>
    <w:rsid w:val="00BA467C"/>
    <w:rsid w:val="00BA4720"/>
    <w:rsid w:val="00BA4865"/>
    <w:rsid w:val="00BA4AAF"/>
    <w:rsid w:val="00BA4E01"/>
    <w:rsid w:val="00BA51FC"/>
    <w:rsid w:val="00BA52BC"/>
    <w:rsid w:val="00BA58A3"/>
    <w:rsid w:val="00BA649C"/>
    <w:rsid w:val="00BA7301"/>
    <w:rsid w:val="00BA7448"/>
    <w:rsid w:val="00BA7CBC"/>
    <w:rsid w:val="00BA7CC7"/>
    <w:rsid w:val="00BB0001"/>
    <w:rsid w:val="00BB00CF"/>
    <w:rsid w:val="00BB01F7"/>
    <w:rsid w:val="00BB05EF"/>
    <w:rsid w:val="00BB0A1C"/>
    <w:rsid w:val="00BB0BBE"/>
    <w:rsid w:val="00BB0CFF"/>
    <w:rsid w:val="00BB0D30"/>
    <w:rsid w:val="00BB0DD6"/>
    <w:rsid w:val="00BB0E77"/>
    <w:rsid w:val="00BB1035"/>
    <w:rsid w:val="00BB1647"/>
    <w:rsid w:val="00BB1709"/>
    <w:rsid w:val="00BB1ACA"/>
    <w:rsid w:val="00BB1B0B"/>
    <w:rsid w:val="00BB1DA8"/>
    <w:rsid w:val="00BB2277"/>
    <w:rsid w:val="00BB2750"/>
    <w:rsid w:val="00BB28CA"/>
    <w:rsid w:val="00BB2DED"/>
    <w:rsid w:val="00BB2E7B"/>
    <w:rsid w:val="00BB2E9C"/>
    <w:rsid w:val="00BB31BB"/>
    <w:rsid w:val="00BB3860"/>
    <w:rsid w:val="00BB3BD7"/>
    <w:rsid w:val="00BB3D77"/>
    <w:rsid w:val="00BB42DC"/>
    <w:rsid w:val="00BB42EE"/>
    <w:rsid w:val="00BB438A"/>
    <w:rsid w:val="00BB44C4"/>
    <w:rsid w:val="00BB483F"/>
    <w:rsid w:val="00BB4A37"/>
    <w:rsid w:val="00BB4AA6"/>
    <w:rsid w:val="00BB4F0A"/>
    <w:rsid w:val="00BB58FB"/>
    <w:rsid w:val="00BB5943"/>
    <w:rsid w:val="00BB5D3D"/>
    <w:rsid w:val="00BB5D87"/>
    <w:rsid w:val="00BB5E80"/>
    <w:rsid w:val="00BB68FD"/>
    <w:rsid w:val="00BB6DBD"/>
    <w:rsid w:val="00BB704D"/>
    <w:rsid w:val="00BB7109"/>
    <w:rsid w:val="00BB7196"/>
    <w:rsid w:val="00BB7377"/>
    <w:rsid w:val="00BB7462"/>
    <w:rsid w:val="00BB7534"/>
    <w:rsid w:val="00BB7E94"/>
    <w:rsid w:val="00BB7EEF"/>
    <w:rsid w:val="00BB7F09"/>
    <w:rsid w:val="00BC0726"/>
    <w:rsid w:val="00BC081D"/>
    <w:rsid w:val="00BC09A8"/>
    <w:rsid w:val="00BC0C91"/>
    <w:rsid w:val="00BC167A"/>
    <w:rsid w:val="00BC185F"/>
    <w:rsid w:val="00BC1BA0"/>
    <w:rsid w:val="00BC1CD8"/>
    <w:rsid w:val="00BC2097"/>
    <w:rsid w:val="00BC233B"/>
    <w:rsid w:val="00BC2440"/>
    <w:rsid w:val="00BC28CA"/>
    <w:rsid w:val="00BC2C27"/>
    <w:rsid w:val="00BC2ED2"/>
    <w:rsid w:val="00BC30DD"/>
    <w:rsid w:val="00BC315D"/>
    <w:rsid w:val="00BC3816"/>
    <w:rsid w:val="00BC4116"/>
    <w:rsid w:val="00BC4126"/>
    <w:rsid w:val="00BC42CF"/>
    <w:rsid w:val="00BC45FE"/>
    <w:rsid w:val="00BC476B"/>
    <w:rsid w:val="00BC5094"/>
    <w:rsid w:val="00BC5658"/>
    <w:rsid w:val="00BC577A"/>
    <w:rsid w:val="00BC5B9C"/>
    <w:rsid w:val="00BC5FFB"/>
    <w:rsid w:val="00BC62FB"/>
    <w:rsid w:val="00BC6A6F"/>
    <w:rsid w:val="00BC6D3A"/>
    <w:rsid w:val="00BC6E07"/>
    <w:rsid w:val="00BC7502"/>
    <w:rsid w:val="00BC7515"/>
    <w:rsid w:val="00BC77B5"/>
    <w:rsid w:val="00BD0080"/>
    <w:rsid w:val="00BD0375"/>
    <w:rsid w:val="00BD0589"/>
    <w:rsid w:val="00BD0A16"/>
    <w:rsid w:val="00BD0DB6"/>
    <w:rsid w:val="00BD11F7"/>
    <w:rsid w:val="00BD13FE"/>
    <w:rsid w:val="00BD14AD"/>
    <w:rsid w:val="00BD1567"/>
    <w:rsid w:val="00BD1793"/>
    <w:rsid w:val="00BD1CEB"/>
    <w:rsid w:val="00BD1D84"/>
    <w:rsid w:val="00BD285B"/>
    <w:rsid w:val="00BD2A88"/>
    <w:rsid w:val="00BD2DFE"/>
    <w:rsid w:val="00BD30BB"/>
    <w:rsid w:val="00BD3474"/>
    <w:rsid w:val="00BD35A1"/>
    <w:rsid w:val="00BD3753"/>
    <w:rsid w:val="00BD38B3"/>
    <w:rsid w:val="00BD39C0"/>
    <w:rsid w:val="00BD4006"/>
    <w:rsid w:val="00BD4327"/>
    <w:rsid w:val="00BD4685"/>
    <w:rsid w:val="00BD4E68"/>
    <w:rsid w:val="00BD4E72"/>
    <w:rsid w:val="00BD5614"/>
    <w:rsid w:val="00BD58AA"/>
    <w:rsid w:val="00BD5D4D"/>
    <w:rsid w:val="00BD5E94"/>
    <w:rsid w:val="00BD6025"/>
    <w:rsid w:val="00BD60F9"/>
    <w:rsid w:val="00BD6142"/>
    <w:rsid w:val="00BD624B"/>
    <w:rsid w:val="00BD6DDA"/>
    <w:rsid w:val="00BD73C0"/>
    <w:rsid w:val="00BD76A4"/>
    <w:rsid w:val="00BD76FB"/>
    <w:rsid w:val="00BD7768"/>
    <w:rsid w:val="00BE0014"/>
    <w:rsid w:val="00BE0060"/>
    <w:rsid w:val="00BE008D"/>
    <w:rsid w:val="00BE0757"/>
    <w:rsid w:val="00BE0C4E"/>
    <w:rsid w:val="00BE0F82"/>
    <w:rsid w:val="00BE12B6"/>
    <w:rsid w:val="00BE1472"/>
    <w:rsid w:val="00BE155A"/>
    <w:rsid w:val="00BE1896"/>
    <w:rsid w:val="00BE1A1D"/>
    <w:rsid w:val="00BE1AED"/>
    <w:rsid w:val="00BE1C1F"/>
    <w:rsid w:val="00BE1E1C"/>
    <w:rsid w:val="00BE1E2C"/>
    <w:rsid w:val="00BE20F8"/>
    <w:rsid w:val="00BE2397"/>
    <w:rsid w:val="00BE24C5"/>
    <w:rsid w:val="00BE2B47"/>
    <w:rsid w:val="00BE2CB6"/>
    <w:rsid w:val="00BE2F7C"/>
    <w:rsid w:val="00BE2FD5"/>
    <w:rsid w:val="00BE32CF"/>
    <w:rsid w:val="00BE3333"/>
    <w:rsid w:val="00BE3682"/>
    <w:rsid w:val="00BE3711"/>
    <w:rsid w:val="00BE3823"/>
    <w:rsid w:val="00BE390F"/>
    <w:rsid w:val="00BE3B16"/>
    <w:rsid w:val="00BE3B5F"/>
    <w:rsid w:val="00BE4159"/>
    <w:rsid w:val="00BE44B0"/>
    <w:rsid w:val="00BE4528"/>
    <w:rsid w:val="00BE475F"/>
    <w:rsid w:val="00BE50B2"/>
    <w:rsid w:val="00BE5619"/>
    <w:rsid w:val="00BE5775"/>
    <w:rsid w:val="00BE5A10"/>
    <w:rsid w:val="00BE5EFF"/>
    <w:rsid w:val="00BE5FDA"/>
    <w:rsid w:val="00BE6173"/>
    <w:rsid w:val="00BE62E6"/>
    <w:rsid w:val="00BE6502"/>
    <w:rsid w:val="00BE6818"/>
    <w:rsid w:val="00BE6FF5"/>
    <w:rsid w:val="00BE70E6"/>
    <w:rsid w:val="00BE7709"/>
    <w:rsid w:val="00BE7785"/>
    <w:rsid w:val="00BF0253"/>
    <w:rsid w:val="00BF11B3"/>
    <w:rsid w:val="00BF1476"/>
    <w:rsid w:val="00BF17E2"/>
    <w:rsid w:val="00BF1C06"/>
    <w:rsid w:val="00BF2447"/>
    <w:rsid w:val="00BF2C2E"/>
    <w:rsid w:val="00BF3564"/>
    <w:rsid w:val="00BF3695"/>
    <w:rsid w:val="00BF3AE6"/>
    <w:rsid w:val="00BF4086"/>
    <w:rsid w:val="00BF40C0"/>
    <w:rsid w:val="00BF4105"/>
    <w:rsid w:val="00BF43DB"/>
    <w:rsid w:val="00BF488B"/>
    <w:rsid w:val="00BF4997"/>
    <w:rsid w:val="00BF4D56"/>
    <w:rsid w:val="00BF4FAF"/>
    <w:rsid w:val="00BF5576"/>
    <w:rsid w:val="00BF5713"/>
    <w:rsid w:val="00BF5745"/>
    <w:rsid w:val="00BF5E0C"/>
    <w:rsid w:val="00BF62C1"/>
    <w:rsid w:val="00BF6449"/>
    <w:rsid w:val="00BF64F0"/>
    <w:rsid w:val="00BF66CE"/>
    <w:rsid w:val="00BF68BA"/>
    <w:rsid w:val="00BF6AB9"/>
    <w:rsid w:val="00BF6BD9"/>
    <w:rsid w:val="00BF6C86"/>
    <w:rsid w:val="00BF6F2F"/>
    <w:rsid w:val="00BF724A"/>
    <w:rsid w:val="00BF74D4"/>
    <w:rsid w:val="00BF74D6"/>
    <w:rsid w:val="00BF765C"/>
    <w:rsid w:val="00BF77A2"/>
    <w:rsid w:val="00BF7FC0"/>
    <w:rsid w:val="00C00002"/>
    <w:rsid w:val="00C00185"/>
    <w:rsid w:val="00C001E6"/>
    <w:rsid w:val="00C00EC8"/>
    <w:rsid w:val="00C01188"/>
    <w:rsid w:val="00C016FE"/>
    <w:rsid w:val="00C0199D"/>
    <w:rsid w:val="00C01AD3"/>
    <w:rsid w:val="00C01DA5"/>
    <w:rsid w:val="00C01E18"/>
    <w:rsid w:val="00C01F9C"/>
    <w:rsid w:val="00C025A4"/>
    <w:rsid w:val="00C02BC2"/>
    <w:rsid w:val="00C02D31"/>
    <w:rsid w:val="00C02E3D"/>
    <w:rsid w:val="00C030EF"/>
    <w:rsid w:val="00C037E6"/>
    <w:rsid w:val="00C0380F"/>
    <w:rsid w:val="00C03A95"/>
    <w:rsid w:val="00C0406B"/>
    <w:rsid w:val="00C04847"/>
    <w:rsid w:val="00C04C02"/>
    <w:rsid w:val="00C04DFB"/>
    <w:rsid w:val="00C04E05"/>
    <w:rsid w:val="00C05136"/>
    <w:rsid w:val="00C0521C"/>
    <w:rsid w:val="00C05333"/>
    <w:rsid w:val="00C05A10"/>
    <w:rsid w:val="00C06366"/>
    <w:rsid w:val="00C0661F"/>
    <w:rsid w:val="00C06786"/>
    <w:rsid w:val="00C06E86"/>
    <w:rsid w:val="00C070A4"/>
    <w:rsid w:val="00C076C5"/>
    <w:rsid w:val="00C0772B"/>
    <w:rsid w:val="00C077D9"/>
    <w:rsid w:val="00C0783F"/>
    <w:rsid w:val="00C07F22"/>
    <w:rsid w:val="00C07F4E"/>
    <w:rsid w:val="00C100B0"/>
    <w:rsid w:val="00C103DC"/>
    <w:rsid w:val="00C105F2"/>
    <w:rsid w:val="00C10900"/>
    <w:rsid w:val="00C10977"/>
    <w:rsid w:val="00C111FF"/>
    <w:rsid w:val="00C113B5"/>
    <w:rsid w:val="00C113EB"/>
    <w:rsid w:val="00C1176D"/>
    <w:rsid w:val="00C11D56"/>
    <w:rsid w:val="00C123DF"/>
    <w:rsid w:val="00C12419"/>
    <w:rsid w:val="00C12751"/>
    <w:rsid w:val="00C12771"/>
    <w:rsid w:val="00C129E6"/>
    <w:rsid w:val="00C12A33"/>
    <w:rsid w:val="00C1304E"/>
    <w:rsid w:val="00C13283"/>
    <w:rsid w:val="00C132E3"/>
    <w:rsid w:val="00C135E5"/>
    <w:rsid w:val="00C13601"/>
    <w:rsid w:val="00C13735"/>
    <w:rsid w:val="00C13A37"/>
    <w:rsid w:val="00C13DE5"/>
    <w:rsid w:val="00C13E88"/>
    <w:rsid w:val="00C14E14"/>
    <w:rsid w:val="00C14F43"/>
    <w:rsid w:val="00C14F57"/>
    <w:rsid w:val="00C1506E"/>
    <w:rsid w:val="00C162C5"/>
    <w:rsid w:val="00C16348"/>
    <w:rsid w:val="00C166E6"/>
    <w:rsid w:val="00C1695E"/>
    <w:rsid w:val="00C16C2E"/>
    <w:rsid w:val="00C172AD"/>
    <w:rsid w:val="00C173F1"/>
    <w:rsid w:val="00C1745C"/>
    <w:rsid w:val="00C17617"/>
    <w:rsid w:val="00C17A5B"/>
    <w:rsid w:val="00C17B26"/>
    <w:rsid w:val="00C17B7F"/>
    <w:rsid w:val="00C17F48"/>
    <w:rsid w:val="00C17FC0"/>
    <w:rsid w:val="00C17FC7"/>
    <w:rsid w:val="00C201A7"/>
    <w:rsid w:val="00C2030F"/>
    <w:rsid w:val="00C203CC"/>
    <w:rsid w:val="00C206FE"/>
    <w:rsid w:val="00C2077C"/>
    <w:rsid w:val="00C207B5"/>
    <w:rsid w:val="00C20863"/>
    <w:rsid w:val="00C20A39"/>
    <w:rsid w:val="00C20C2B"/>
    <w:rsid w:val="00C20E27"/>
    <w:rsid w:val="00C20EE3"/>
    <w:rsid w:val="00C2107E"/>
    <w:rsid w:val="00C210A8"/>
    <w:rsid w:val="00C211A4"/>
    <w:rsid w:val="00C217BE"/>
    <w:rsid w:val="00C21865"/>
    <w:rsid w:val="00C21FC5"/>
    <w:rsid w:val="00C221E4"/>
    <w:rsid w:val="00C2266D"/>
    <w:rsid w:val="00C22CA0"/>
    <w:rsid w:val="00C22CBB"/>
    <w:rsid w:val="00C22FA2"/>
    <w:rsid w:val="00C232CF"/>
    <w:rsid w:val="00C23394"/>
    <w:rsid w:val="00C235FF"/>
    <w:rsid w:val="00C23684"/>
    <w:rsid w:val="00C23839"/>
    <w:rsid w:val="00C23A38"/>
    <w:rsid w:val="00C23BB4"/>
    <w:rsid w:val="00C23D65"/>
    <w:rsid w:val="00C23E35"/>
    <w:rsid w:val="00C23F82"/>
    <w:rsid w:val="00C2435F"/>
    <w:rsid w:val="00C24467"/>
    <w:rsid w:val="00C24501"/>
    <w:rsid w:val="00C24543"/>
    <w:rsid w:val="00C247EC"/>
    <w:rsid w:val="00C248AE"/>
    <w:rsid w:val="00C24AA1"/>
    <w:rsid w:val="00C24E31"/>
    <w:rsid w:val="00C2549D"/>
    <w:rsid w:val="00C25662"/>
    <w:rsid w:val="00C25C1D"/>
    <w:rsid w:val="00C25D2C"/>
    <w:rsid w:val="00C25E42"/>
    <w:rsid w:val="00C2620C"/>
    <w:rsid w:val="00C262E0"/>
    <w:rsid w:val="00C263C2"/>
    <w:rsid w:val="00C26E08"/>
    <w:rsid w:val="00C2708A"/>
    <w:rsid w:val="00C27861"/>
    <w:rsid w:val="00C278AE"/>
    <w:rsid w:val="00C27CDC"/>
    <w:rsid w:val="00C27E17"/>
    <w:rsid w:val="00C27EE0"/>
    <w:rsid w:val="00C300EA"/>
    <w:rsid w:val="00C307DE"/>
    <w:rsid w:val="00C309AA"/>
    <w:rsid w:val="00C30A43"/>
    <w:rsid w:val="00C30B2E"/>
    <w:rsid w:val="00C30C10"/>
    <w:rsid w:val="00C32A5A"/>
    <w:rsid w:val="00C32AC7"/>
    <w:rsid w:val="00C32AF0"/>
    <w:rsid w:val="00C32C50"/>
    <w:rsid w:val="00C3316C"/>
    <w:rsid w:val="00C333EC"/>
    <w:rsid w:val="00C33442"/>
    <w:rsid w:val="00C33830"/>
    <w:rsid w:val="00C33883"/>
    <w:rsid w:val="00C3388F"/>
    <w:rsid w:val="00C339FB"/>
    <w:rsid w:val="00C33A36"/>
    <w:rsid w:val="00C33B7F"/>
    <w:rsid w:val="00C34757"/>
    <w:rsid w:val="00C34B96"/>
    <w:rsid w:val="00C34E6B"/>
    <w:rsid w:val="00C34E92"/>
    <w:rsid w:val="00C34EE4"/>
    <w:rsid w:val="00C34F85"/>
    <w:rsid w:val="00C35013"/>
    <w:rsid w:val="00C35146"/>
    <w:rsid w:val="00C3521C"/>
    <w:rsid w:val="00C352D5"/>
    <w:rsid w:val="00C35548"/>
    <w:rsid w:val="00C357A5"/>
    <w:rsid w:val="00C35961"/>
    <w:rsid w:val="00C36032"/>
    <w:rsid w:val="00C361AA"/>
    <w:rsid w:val="00C36376"/>
    <w:rsid w:val="00C364CA"/>
    <w:rsid w:val="00C36948"/>
    <w:rsid w:val="00C36D8B"/>
    <w:rsid w:val="00C36F07"/>
    <w:rsid w:val="00C36FC0"/>
    <w:rsid w:val="00C3704F"/>
    <w:rsid w:val="00C37B91"/>
    <w:rsid w:val="00C40223"/>
    <w:rsid w:val="00C404EC"/>
    <w:rsid w:val="00C40692"/>
    <w:rsid w:val="00C40C11"/>
    <w:rsid w:val="00C40E09"/>
    <w:rsid w:val="00C4102E"/>
    <w:rsid w:val="00C4112D"/>
    <w:rsid w:val="00C41CA9"/>
    <w:rsid w:val="00C4203D"/>
    <w:rsid w:val="00C423D4"/>
    <w:rsid w:val="00C42909"/>
    <w:rsid w:val="00C42B6D"/>
    <w:rsid w:val="00C43006"/>
    <w:rsid w:val="00C430CB"/>
    <w:rsid w:val="00C430D9"/>
    <w:rsid w:val="00C434B3"/>
    <w:rsid w:val="00C434E0"/>
    <w:rsid w:val="00C43700"/>
    <w:rsid w:val="00C438C3"/>
    <w:rsid w:val="00C43A87"/>
    <w:rsid w:val="00C43AA9"/>
    <w:rsid w:val="00C43BF7"/>
    <w:rsid w:val="00C43D9D"/>
    <w:rsid w:val="00C43DA2"/>
    <w:rsid w:val="00C43FC8"/>
    <w:rsid w:val="00C440F4"/>
    <w:rsid w:val="00C44869"/>
    <w:rsid w:val="00C449A1"/>
    <w:rsid w:val="00C449EB"/>
    <w:rsid w:val="00C44C64"/>
    <w:rsid w:val="00C44EB8"/>
    <w:rsid w:val="00C4574B"/>
    <w:rsid w:val="00C45848"/>
    <w:rsid w:val="00C45930"/>
    <w:rsid w:val="00C45F66"/>
    <w:rsid w:val="00C46269"/>
    <w:rsid w:val="00C46846"/>
    <w:rsid w:val="00C46C44"/>
    <w:rsid w:val="00C46F66"/>
    <w:rsid w:val="00C4763E"/>
    <w:rsid w:val="00C479FA"/>
    <w:rsid w:val="00C50176"/>
    <w:rsid w:val="00C5040D"/>
    <w:rsid w:val="00C50604"/>
    <w:rsid w:val="00C507BB"/>
    <w:rsid w:val="00C5080E"/>
    <w:rsid w:val="00C50871"/>
    <w:rsid w:val="00C509CD"/>
    <w:rsid w:val="00C50F45"/>
    <w:rsid w:val="00C514FF"/>
    <w:rsid w:val="00C51C91"/>
    <w:rsid w:val="00C51D31"/>
    <w:rsid w:val="00C52006"/>
    <w:rsid w:val="00C5208F"/>
    <w:rsid w:val="00C5254F"/>
    <w:rsid w:val="00C526E7"/>
    <w:rsid w:val="00C52D3C"/>
    <w:rsid w:val="00C52F34"/>
    <w:rsid w:val="00C530AB"/>
    <w:rsid w:val="00C531C8"/>
    <w:rsid w:val="00C532AE"/>
    <w:rsid w:val="00C53504"/>
    <w:rsid w:val="00C53806"/>
    <w:rsid w:val="00C538EF"/>
    <w:rsid w:val="00C53BF9"/>
    <w:rsid w:val="00C53D36"/>
    <w:rsid w:val="00C53ECB"/>
    <w:rsid w:val="00C54152"/>
    <w:rsid w:val="00C543F2"/>
    <w:rsid w:val="00C547E3"/>
    <w:rsid w:val="00C549FB"/>
    <w:rsid w:val="00C552D3"/>
    <w:rsid w:val="00C5581A"/>
    <w:rsid w:val="00C558D4"/>
    <w:rsid w:val="00C559D1"/>
    <w:rsid w:val="00C55A7D"/>
    <w:rsid w:val="00C55D60"/>
    <w:rsid w:val="00C55DAD"/>
    <w:rsid w:val="00C55EC4"/>
    <w:rsid w:val="00C55F2A"/>
    <w:rsid w:val="00C567EB"/>
    <w:rsid w:val="00C56AFF"/>
    <w:rsid w:val="00C56F83"/>
    <w:rsid w:val="00C57232"/>
    <w:rsid w:val="00C5730F"/>
    <w:rsid w:val="00C57454"/>
    <w:rsid w:val="00C57805"/>
    <w:rsid w:val="00C578FC"/>
    <w:rsid w:val="00C5795A"/>
    <w:rsid w:val="00C579B5"/>
    <w:rsid w:val="00C57B66"/>
    <w:rsid w:val="00C57C0E"/>
    <w:rsid w:val="00C57EB1"/>
    <w:rsid w:val="00C60118"/>
    <w:rsid w:val="00C60131"/>
    <w:rsid w:val="00C6098B"/>
    <w:rsid w:val="00C60F55"/>
    <w:rsid w:val="00C61618"/>
    <w:rsid w:val="00C618CA"/>
    <w:rsid w:val="00C61D9C"/>
    <w:rsid w:val="00C62394"/>
    <w:rsid w:val="00C62E84"/>
    <w:rsid w:val="00C62F8D"/>
    <w:rsid w:val="00C6355E"/>
    <w:rsid w:val="00C639C4"/>
    <w:rsid w:val="00C63A84"/>
    <w:rsid w:val="00C63E23"/>
    <w:rsid w:val="00C63FF3"/>
    <w:rsid w:val="00C645C4"/>
    <w:rsid w:val="00C64671"/>
    <w:rsid w:val="00C6477C"/>
    <w:rsid w:val="00C648FB"/>
    <w:rsid w:val="00C64903"/>
    <w:rsid w:val="00C649BA"/>
    <w:rsid w:val="00C64A81"/>
    <w:rsid w:val="00C65223"/>
    <w:rsid w:val="00C652F8"/>
    <w:rsid w:val="00C65D73"/>
    <w:rsid w:val="00C6637F"/>
    <w:rsid w:val="00C6662E"/>
    <w:rsid w:val="00C666B7"/>
    <w:rsid w:val="00C66976"/>
    <w:rsid w:val="00C66B38"/>
    <w:rsid w:val="00C66D85"/>
    <w:rsid w:val="00C6741F"/>
    <w:rsid w:val="00C67608"/>
    <w:rsid w:val="00C67DAA"/>
    <w:rsid w:val="00C67EC6"/>
    <w:rsid w:val="00C7018D"/>
    <w:rsid w:val="00C701A0"/>
    <w:rsid w:val="00C702E8"/>
    <w:rsid w:val="00C703D2"/>
    <w:rsid w:val="00C70B2E"/>
    <w:rsid w:val="00C70F57"/>
    <w:rsid w:val="00C70F90"/>
    <w:rsid w:val="00C71124"/>
    <w:rsid w:val="00C718D7"/>
    <w:rsid w:val="00C71CED"/>
    <w:rsid w:val="00C72421"/>
    <w:rsid w:val="00C7250C"/>
    <w:rsid w:val="00C7289F"/>
    <w:rsid w:val="00C729AF"/>
    <w:rsid w:val="00C72ACB"/>
    <w:rsid w:val="00C72F99"/>
    <w:rsid w:val="00C73046"/>
    <w:rsid w:val="00C73093"/>
    <w:rsid w:val="00C7338F"/>
    <w:rsid w:val="00C73450"/>
    <w:rsid w:val="00C73912"/>
    <w:rsid w:val="00C73B18"/>
    <w:rsid w:val="00C73C4F"/>
    <w:rsid w:val="00C73D6B"/>
    <w:rsid w:val="00C73E2B"/>
    <w:rsid w:val="00C73E67"/>
    <w:rsid w:val="00C73FCF"/>
    <w:rsid w:val="00C7402D"/>
    <w:rsid w:val="00C7495D"/>
    <w:rsid w:val="00C74A7E"/>
    <w:rsid w:val="00C74F08"/>
    <w:rsid w:val="00C74F1E"/>
    <w:rsid w:val="00C7541E"/>
    <w:rsid w:val="00C75B19"/>
    <w:rsid w:val="00C75CC6"/>
    <w:rsid w:val="00C75F13"/>
    <w:rsid w:val="00C76646"/>
    <w:rsid w:val="00C76654"/>
    <w:rsid w:val="00C76847"/>
    <w:rsid w:val="00C769F1"/>
    <w:rsid w:val="00C770C7"/>
    <w:rsid w:val="00C776D0"/>
    <w:rsid w:val="00C7771A"/>
    <w:rsid w:val="00C779B1"/>
    <w:rsid w:val="00C80200"/>
    <w:rsid w:val="00C803F1"/>
    <w:rsid w:val="00C80744"/>
    <w:rsid w:val="00C809AC"/>
    <w:rsid w:val="00C80B07"/>
    <w:rsid w:val="00C80D47"/>
    <w:rsid w:val="00C80E67"/>
    <w:rsid w:val="00C80E72"/>
    <w:rsid w:val="00C81480"/>
    <w:rsid w:val="00C81506"/>
    <w:rsid w:val="00C81AB4"/>
    <w:rsid w:val="00C81D29"/>
    <w:rsid w:val="00C81E0E"/>
    <w:rsid w:val="00C81F12"/>
    <w:rsid w:val="00C81F9E"/>
    <w:rsid w:val="00C81FE2"/>
    <w:rsid w:val="00C8224E"/>
    <w:rsid w:val="00C827AD"/>
    <w:rsid w:val="00C828FA"/>
    <w:rsid w:val="00C82B09"/>
    <w:rsid w:val="00C82E26"/>
    <w:rsid w:val="00C82F1C"/>
    <w:rsid w:val="00C8327F"/>
    <w:rsid w:val="00C83529"/>
    <w:rsid w:val="00C835C8"/>
    <w:rsid w:val="00C8366B"/>
    <w:rsid w:val="00C836C7"/>
    <w:rsid w:val="00C83C52"/>
    <w:rsid w:val="00C83CF0"/>
    <w:rsid w:val="00C83EC7"/>
    <w:rsid w:val="00C8439C"/>
    <w:rsid w:val="00C84653"/>
    <w:rsid w:val="00C84B10"/>
    <w:rsid w:val="00C84BD9"/>
    <w:rsid w:val="00C8545C"/>
    <w:rsid w:val="00C85B21"/>
    <w:rsid w:val="00C85BF6"/>
    <w:rsid w:val="00C85DD8"/>
    <w:rsid w:val="00C8629A"/>
    <w:rsid w:val="00C8630C"/>
    <w:rsid w:val="00C8633F"/>
    <w:rsid w:val="00C867BF"/>
    <w:rsid w:val="00C86BEF"/>
    <w:rsid w:val="00C86ED8"/>
    <w:rsid w:val="00C86F4C"/>
    <w:rsid w:val="00C8715C"/>
    <w:rsid w:val="00C8744D"/>
    <w:rsid w:val="00C87676"/>
    <w:rsid w:val="00C877A1"/>
    <w:rsid w:val="00C87962"/>
    <w:rsid w:val="00C8797B"/>
    <w:rsid w:val="00C87A13"/>
    <w:rsid w:val="00C87CEF"/>
    <w:rsid w:val="00C9020D"/>
    <w:rsid w:val="00C903D8"/>
    <w:rsid w:val="00C90464"/>
    <w:rsid w:val="00C9061C"/>
    <w:rsid w:val="00C9082A"/>
    <w:rsid w:val="00C90898"/>
    <w:rsid w:val="00C908AC"/>
    <w:rsid w:val="00C909C4"/>
    <w:rsid w:val="00C91084"/>
    <w:rsid w:val="00C91145"/>
    <w:rsid w:val="00C9136D"/>
    <w:rsid w:val="00C91504"/>
    <w:rsid w:val="00C91613"/>
    <w:rsid w:val="00C91806"/>
    <w:rsid w:val="00C92011"/>
    <w:rsid w:val="00C920CE"/>
    <w:rsid w:val="00C9225F"/>
    <w:rsid w:val="00C924AC"/>
    <w:rsid w:val="00C924B3"/>
    <w:rsid w:val="00C92709"/>
    <w:rsid w:val="00C929DD"/>
    <w:rsid w:val="00C92A05"/>
    <w:rsid w:val="00C92C09"/>
    <w:rsid w:val="00C92C44"/>
    <w:rsid w:val="00C92CB4"/>
    <w:rsid w:val="00C92D29"/>
    <w:rsid w:val="00C92DDA"/>
    <w:rsid w:val="00C935DD"/>
    <w:rsid w:val="00C937B5"/>
    <w:rsid w:val="00C938C7"/>
    <w:rsid w:val="00C9418F"/>
    <w:rsid w:val="00C94363"/>
    <w:rsid w:val="00C94587"/>
    <w:rsid w:val="00C94AA8"/>
    <w:rsid w:val="00C94D2E"/>
    <w:rsid w:val="00C94F4D"/>
    <w:rsid w:val="00C95858"/>
    <w:rsid w:val="00C95B0B"/>
    <w:rsid w:val="00C95E7B"/>
    <w:rsid w:val="00C967F3"/>
    <w:rsid w:val="00C9690A"/>
    <w:rsid w:val="00C96A65"/>
    <w:rsid w:val="00C96B19"/>
    <w:rsid w:val="00C973D1"/>
    <w:rsid w:val="00C97462"/>
    <w:rsid w:val="00C97479"/>
    <w:rsid w:val="00C977A1"/>
    <w:rsid w:val="00C977B8"/>
    <w:rsid w:val="00C97941"/>
    <w:rsid w:val="00C97CDC"/>
    <w:rsid w:val="00C97F78"/>
    <w:rsid w:val="00CA01FB"/>
    <w:rsid w:val="00CA0445"/>
    <w:rsid w:val="00CA084A"/>
    <w:rsid w:val="00CA090A"/>
    <w:rsid w:val="00CA0B2E"/>
    <w:rsid w:val="00CA1154"/>
    <w:rsid w:val="00CA1C57"/>
    <w:rsid w:val="00CA1D55"/>
    <w:rsid w:val="00CA20AF"/>
    <w:rsid w:val="00CA26DD"/>
    <w:rsid w:val="00CA2D63"/>
    <w:rsid w:val="00CA2F0A"/>
    <w:rsid w:val="00CA30C9"/>
    <w:rsid w:val="00CA334E"/>
    <w:rsid w:val="00CA3920"/>
    <w:rsid w:val="00CA40D6"/>
    <w:rsid w:val="00CA40FF"/>
    <w:rsid w:val="00CA4634"/>
    <w:rsid w:val="00CA4753"/>
    <w:rsid w:val="00CA4E37"/>
    <w:rsid w:val="00CA630B"/>
    <w:rsid w:val="00CA68B8"/>
    <w:rsid w:val="00CA68F2"/>
    <w:rsid w:val="00CA6BD9"/>
    <w:rsid w:val="00CA721C"/>
    <w:rsid w:val="00CA7610"/>
    <w:rsid w:val="00CA79AB"/>
    <w:rsid w:val="00CA79CF"/>
    <w:rsid w:val="00CA7A1A"/>
    <w:rsid w:val="00CA7EAD"/>
    <w:rsid w:val="00CA7FE4"/>
    <w:rsid w:val="00CB0545"/>
    <w:rsid w:val="00CB07B0"/>
    <w:rsid w:val="00CB13C9"/>
    <w:rsid w:val="00CB1F6D"/>
    <w:rsid w:val="00CB23C9"/>
    <w:rsid w:val="00CB2632"/>
    <w:rsid w:val="00CB2891"/>
    <w:rsid w:val="00CB29BE"/>
    <w:rsid w:val="00CB30DF"/>
    <w:rsid w:val="00CB3646"/>
    <w:rsid w:val="00CB376B"/>
    <w:rsid w:val="00CB3A33"/>
    <w:rsid w:val="00CB3FD0"/>
    <w:rsid w:val="00CB41C7"/>
    <w:rsid w:val="00CB41F2"/>
    <w:rsid w:val="00CB4578"/>
    <w:rsid w:val="00CB546C"/>
    <w:rsid w:val="00CB5530"/>
    <w:rsid w:val="00CB55AA"/>
    <w:rsid w:val="00CB5719"/>
    <w:rsid w:val="00CB5813"/>
    <w:rsid w:val="00CB583E"/>
    <w:rsid w:val="00CB587A"/>
    <w:rsid w:val="00CB5900"/>
    <w:rsid w:val="00CB5950"/>
    <w:rsid w:val="00CB5AC0"/>
    <w:rsid w:val="00CB5AE9"/>
    <w:rsid w:val="00CB5D3A"/>
    <w:rsid w:val="00CB5F2E"/>
    <w:rsid w:val="00CB6403"/>
    <w:rsid w:val="00CB67D7"/>
    <w:rsid w:val="00CB6B8E"/>
    <w:rsid w:val="00CB709F"/>
    <w:rsid w:val="00CB7262"/>
    <w:rsid w:val="00CB7CC3"/>
    <w:rsid w:val="00CC0464"/>
    <w:rsid w:val="00CC061E"/>
    <w:rsid w:val="00CC0BE7"/>
    <w:rsid w:val="00CC0D3E"/>
    <w:rsid w:val="00CC1055"/>
    <w:rsid w:val="00CC10BB"/>
    <w:rsid w:val="00CC1100"/>
    <w:rsid w:val="00CC1569"/>
    <w:rsid w:val="00CC1740"/>
    <w:rsid w:val="00CC1A71"/>
    <w:rsid w:val="00CC1A77"/>
    <w:rsid w:val="00CC1CB7"/>
    <w:rsid w:val="00CC1F4A"/>
    <w:rsid w:val="00CC2024"/>
    <w:rsid w:val="00CC23D2"/>
    <w:rsid w:val="00CC27DD"/>
    <w:rsid w:val="00CC29A1"/>
    <w:rsid w:val="00CC3226"/>
    <w:rsid w:val="00CC3EF8"/>
    <w:rsid w:val="00CC400B"/>
    <w:rsid w:val="00CC407C"/>
    <w:rsid w:val="00CC411C"/>
    <w:rsid w:val="00CC43FD"/>
    <w:rsid w:val="00CC4E89"/>
    <w:rsid w:val="00CC571A"/>
    <w:rsid w:val="00CC57F3"/>
    <w:rsid w:val="00CC6358"/>
    <w:rsid w:val="00CC669B"/>
    <w:rsid w:val="00CC6AB6"/>
    <w:rsid w:val="00CC6D25"/>
    <w:rsid w:val="00CC7620"/>
    <w:rsid w:val="00CC7671"/>
    <w:rsid w:val="00CC7B02"/>
    <w:rsid w:val="00CC7B4D"/>
    <w:rsid w:val="00CD072D"/>
    <w:rsid w:val="00CD0E0D"/>
    <w:rsid w:val="00CD0EDC"/>
    <w:rsid w:val="00CD0F5D"/>
    <w:rsid w:val="00CD11B9"/>
    <w:rsid w:val="00CD136A"/>
    <w:rsid w:val="00CD171E"/>
    <w:rsid w:val="00CD181A"/>
    <w:rsid w:val="00CD1BFC"/>
    <w:rsid w:val="00CD1C70"/>
    <w:rsid w:val="00CD1DBF"/>
    <w:rsid w:val="00CD1FD8"/>
    <w:rsid w:val="00CD2106"/>
    <w:rsid w:val="00CD256F"/>
    <w:rsid w:val="00CD2F14"/>
    <w:rsid w:val="00CD30B7"/>
    <w:rsid w:val="00CD31F3"/>
    <w:rsid w:val="00CD3977"/>
    <w:rsid w:val="00CD3D9F"/>
    <w:rsid w:val="00CD3FD4"/>
    <w:rsid w:val="00CD4223"/>
    <w:rsid w:val="00CD452D"/>
    <w:rsid w:val="00CD493F"/>
    <w:rsid w:val="00CD497F"/>
    <w:rsid w:val="00CD4F3B"/>
    <w:rsid w:val="00CD5067"/>
    <w:rsid w:val="00CD5198"/>
    <w:rsid w:val="00CD52C1"/>
    <w:rsid w:val="00CD5659"/>
    <w:rsid w:val="00CD56E8"/>
    <w:rsid w:val="00CD5BA6"/>
    <w:rsid w:val="00CD6042"/>
    <w:rsid w:val="00CD66F3"/>
    <w:rsid w:val="00CD6764"/>
    <w:rsid w:val="00CD7227"/>
    <w:rsid w:val="00CD7610"/>
    <w:rsid w:val="00CD774F"/>
    <w:rsid w:val="00CD79A0"/>
    <w:rsid w:val="00CD7B8E"/>
    <w:rsid w:val="00CE0157"/>
    <w:rsid w:val="00CE073D"/>
    <w:rsid w:val="00CE09BB"/>
    <w:rsid w:val="00CE0C5B"/>
    <w:rsid w:val="00CE0CBA"/>
    <w:rsid w:val="00CE0CED"/>
    <w:rsid w:val="00CE1116"/>
    <w:rsid w:val="00CE16A3"/>
    <w:rsid w:val="00CE187B"/>
    <w:rsid w:val="00CE1955"/>
    <w:rsid w:val="00CE1B3C"/>
    <w:rsid w:val="00CE1B9A"/>
    <w:rsid w:val="00CE1CB9"/>
    <w:rsid w:val="00CE1D4C"/>
    <w:rsid w:val="00CE221B"/>
    <w:rsid w:val="00CE28F3"/>
    <w:rsid w:val="00CE29D1"/>
    <w:rsid w:val="00CE2AA9"/>
    <w:rsid w:val="00CE30FD"/>
    <w:rsid w:val="00CE31D3"/>
    <w:rsid w:val="00CE391A"/>
    <w:rsid w:val="00CE3AB6"/>
    <w:rsid w:val="00CE3AF1"/>
    <w:rsid w:val="00CE3D50"/>
    <w:rsid w:val="00CE3EF9"/>
    <w:rsid w:val="00CE4836"/>
    <w:rsid w:val="00CE4A9B"/>
    <w:rsid w:val="00CE4B63"/>
    <w:rsid w:val="00CE4D10"/>
    <w:rsid w:val="00CE4D34"/>
    <w:rsid w:val="00CE56C9"/>
    <w:rsid w:val="00CE56F6"/>
    <w:rsid w:val="00CE5709"/>
    <w:rsid w:val="00CE5C37"/>
    <w:rsid w:val="00CE5CE0"/>
    <w:rsid w:val="00CE60B4"/>
    <w:rsid w:val="00CE6282"/>
    <w:rsid w:val="00CE6508"/>
    <w:rsid w:val="00CE66F0"/>
    <w:rsid w:val="00CE6741"/>
    <w:rsid w:val="00CE6775"/>
    <w:rsid w:val="00CE6845"/>
    <w:rsid w:val="00CE7000"/>
    <w:rsid w:val="00CE702A"/>
    <w:rsid w:val="00CE7141"/>
    <w:rsid w:val="00CE7178"/>
    <w:rsid w:val="00CE71AF"/>
    <w:rsid w:val="00CE75B5"/>
    <w:rsid w:val="00CE772C"/>
    <w:rsid w:val="00CE7C50"/>
    <w:rsid w:val="00CE7D16"/>
    <w:rsid w:val="00CE7DB3"/>
    <w:rsid w:val="00CF0DEE"/>
    <w:rsid w:val="00CF0E43"/>
    <w:rsid w:val="00CF1C70"/>
    <w:rsid w:val="00CF1E94"/>
    <w:rsid w:val="00CF1EFC"/>
    <w:rsid w:val="00CF1F1F"/>
    <w:rsid w:val="00CF201C"/>
    <w:rsid w:val="00CF2032"/>
    <w:rsid w:val="00CF239F"/>
    <w:rsid w:val="00CF255E"/>
    <w:rsid w:val="00CF25EC"/>
    <w:rsid w:val="00CF268D"/>
    <w:rsid w:val="00CF26C8"/>
    <w:rsid w:val="00CF287B"/>
    <w:rsid w:val="00CF2CC9"/>
    <w:rsid w:val="00CF3205"/>
    <w:rsid w:val="00CF326F"/>
    <w:rsid w:val="00CF334E"/>
    <w:rsid w:val="00CF3664"/>
    <w:rsid w:val="00CF36B9"/>
    <w:rsid w:val="00CF39BD"/>
    <w:rsid w:val="00CF39C8"/>
    <w:rsid w:val="00CF3C50"/>
    <w:rsid w:val="00CF3C95"/>
    <w:rsid w:val="00CF3F78"/>
    <w:rsid w:val="00CF40A9"/>
    <w:rsid w:val="00CF44FE"/>
    <w:rsid w:val="00CF463B"/>
    <w:rsid w:val="00CF468A"/>
    <w:rsid w:val="00CF476C"/>
    <w:rsid w:val="00CF4828"/>
    <w:rsid w:val="00CF51FF"/>
    <w:rsid w:val="00CF58B7"/>
    <w:rsid w:val="00CF58C6"/>
    <w:rsid w:val="00CF619A"/>
    <w:rsid w:val="00CF62A0"/>
    <w:rsid w:val="00CF63AD"/>
    <w:rsid w:val="00CF6733"/>
    <w:rsid w:val="00CF72AD"/>
    <w:rsid w:val="00CF748F"/>
    <w:rsid w:val="00CF74B5"/>
    <w:rsid w:val="00CF7E30"/>
    <w:rsid w:val="00D001CF"/>
    <w:rsid w:val="00D004C1"/>
    <w:rsid w:val="00D005E2"/>
    <w:rsid w:val="00D0092F"/>
    <w:rsid w:val="00D00CFC"/>
    <w:rsid w:val="00D0147F"/>
    <w:rsid w:val="00D015A8"/>
    <w:rsid w:val="00D0187B"/>
    <w:rsid w:val="00D01BB7"/>
    <w:rsid w:val="00D025E1"/>
    <w:rsid w:val="00D028DD"/>
    <w:rsid w:val="00D02D3F"/>
    <w:rsid w:val="00D031FE"/>
    <w:rsid w:val="00D03206"/>
    <w:rsid w:val="00D03228"/>
    <w:rsid w:val="00D0322A"/>
    <w:rsid w:val="00D03367"/>
    <w:rsid w:val="00D03461"/>
    <w:rsid w:val="00D034C6"/>
    <w:rsid w:val="00D03711"/>
    <w:rsid w:val="00D0374D"/>
    <w:rsid w:val="00D037CF"/>
    <w:rsid w:val="00D03861"/>
    <w:rsid w:val="00D0393C"/>
    <w:rsid w:val="00D03DEC"/>
    <w:rsid w:val="00D04256"/>
    <w:rsid w:val="00D04487"/>
    <w:rsid w:val="00D04541"/>
    <w:rsid w:val="00D04CB5"/>
    <w:rsid w:val="00D05175"/>
    <w:rsid w:val="00D055C8"/>
    <w:rsid w:val="00D055E9"/>
    <w:rsid w:val="00D0589F"/>
    <w:rsid w:val="00D05B39"/>
    <w:rsid w:val="00D05DFE"/>
    <w:rsid w:val="00D05ECE"/>
    <w:rsid w:val="00D06397"/>
    <w:rsid w:val="00D0646C"/>
    <w:rsid w:val="00D06606"/>
    <w:rsid w:val="00D06620"/>
    <w:rsid w:val="00D06CE5"/>
    <w:rsid w:val="00D06D3F"/>
    <w:rsid w:val="00D06E64"/>
    <w:rsid w:val="00D06FF8"/>
    <w:rsid w:val="00D070A0"/>
    <w:rsid w:val="00D07561"/>
    <w:rsid w:val="00D07767"/>
    <w:rsid w:val="00D07F69"/>
    <w:rsid w:val="00D1026E"/>
    <w:rsid w:val="00D10295"/>
    <w:rsid w:val="00D1045D"/>
    <w:rsid w:val="00D109C8"/>
    <w:rsid w:val="00D10C4C"/>
    <w:rsid w:val="00D11095"/>
    <w:rsid w:val="00D110AB"/>
    <w:rsid w:val="00D11237"/>
    <w:rsid w:val="00D115A8"/>
    <w:rsid w:val="00D11692"/>
    <w:rsid w:val="00D1184A"/>
    <w:rsid w:val="00D11D3A"/>
    <w:rsid w:val="00D12094"/>
    <w:rsid w:val="00D120AF"/>
    <w:rsid w:val="00D12366"/>
    <w:rsid w:val="00D1248F"/>
    <w:rsid w:val="00D12A49"/>
    <w:rsid w:val="00D12E1D"/>
    <w:rsid w:val="00D12EFC"/>
    <w:rsid w:val="00D1308A"/>
    <w:rsid w:val="00D13546"/>
    <w:rsid w:val="00D13619"/>
    <w:rsid w:val="00D1379B"/>
    <w:rsid w:val="00D13BE9"/>
    <w:rsid w:val="00D13CD7"/>
    <w:rsid w:val="00D13D6D"/>
    <w:rsid w:val="00D14AC5"/>
    <w:rsid w:val="00D15189"/>
    <w:rsid w:val="00D15473"/>
    <w:rsid w:val="00D154E0"/>
    <w:rsid w:val="00D1557B"/>
    <w:rsid w:val="00D156AE"/>
    <w:rsid w:val="00D15EB2"/>
    <w:rsid w:val="00D163C6"/>
    <w:rsid w:val="00D16925"/>
    <w:rsid w:val="00D1698E"/>
    <w:rsid w:val="00D16C26"/>
    <w:rsid w:val="00D17472"/>
    <w:rsid w:val="00D176AF"/>
    <w:rsid w:val="00D1773B"/>
    <w:rsid w:val="00D17A16"/>
    <w:rsid w:val="00D17BEB"/>
    <w:rsid w:val="00D20363"/>
    <w:rsid w:val="00D203EC"/>
    <w:rsid w:val="00D205FD"/>
    <w:rsid w:val="00D20E37"/>
    <w:rsid w:val="00D213AB"/>
    <w:rsid w:val="00D21696"/>
    <w:rsid w:val="00D21837"/>
    <w:rsid w:val="00D21A37"/>
    <w:rsid w:val="00D220D7"/>
    <w:rsid w:val="00D222D0"/>
    <w:rsid w:val="00D2255A"/>
    <w:rsid w:val="00D22866"/>
    <w:rsid w:val="00D2293D"/>
    <w:rsid w:val="00D22AB3"/>
    <w:rsid w:val="00D233A2"/>
    <w:rsid w:val="00D2343F"/>
    <w:rsid w:val="00D236A0"/>
    <w:rsid w:val="00D23A46"/>
    <w:rsid w:val="00D24198"/>
    <w:rsid w:val="00D24D68"/>
    <w:rsid w:val="00D24E8D"/>
    <w:rsid w:val="00D25C3B"/>
    <w:rsid w:val="00D25D6C"/>
    <w:rsid w:val="00D265D4"/>
    <w:rsid w:val="00D2665C"/>
    <w:rsid w:val="00D2732C"/>
    <w:rsid w:val="00D279D7"/>
    <w:rsid w:val="00D27BCB"/>
    <w:rsid w:val="00D309CD"/>
    <w:rsid w:val="00D309D2"/>
    <w:rsid w:val="00D30B44"/>
    <w:rsid w:val="00D30CE6"/>
    <w:rsid w:val="00D30F24"/>
    <w:rsid w:val="00D31044"/>
    <w:rsid w:val="00D310D2"/>
    <w:rsid w:val="00D317F1"/>
    <w:rsid w:val="00D31832"/>
    <w:rsid w:val="00D31935"/>
    <w:rsid w:val="00D31A2B"/>
    <w:rsid w:val="00D31B15"/>
    <w:rsid w:val="00D31D3C"/>
    <w:rsid w:val="00D323B7"/>
    <w:rsid w:val="00D32580"/>
    <w:rsid w:val="00D326A4"/>
    <w:rsid w:val="00D32D0F"/>
    <w:rsid w:val="00D32E33"/>
    <w:rsid w:val="00D3320D"/>
    <w:rsid w:val="00D3371A"/>
    <w:rsid w:val="00D3472F"/>
    <w:rsid w:val="00D34867"/>
    <w:rsid w:val="00D34893"/>
    <w:rsid w:val="00D34986"/>
    <w:rsid w:val="00D34C4D"/>
    <w:rsid w:val="00D34D0B"/>
    <w:rsid w:val="00D34DC0"/>
    <w:rsid w:val="00D351EE"/>
    <w:rsid w:val="00D35435"/>
    <w:rsid w:val="00D3573C"/>
    <w:rsid w:val="00D35757"/>
    <w:rsid w:val="00D35916"/>
    <w:rsid w:val="00D361A3"/>
    <w:rsid w:val="00D3645C"/>
    <w:rsid w:val="00D366DA"/>
    <w:rsid w:val="00D36943"/>
    <w:rsid w:val="00D369B6"/>
    <w:rsid w:val="00D37104"/>
    <w:rsid w:val="00D371B4"/>
    <w:rsid w:val="00D37580"/>
    <w:rsid w:val="00D378D1"/>
    <w:rsid w:val="00D378D7"/>
    <w:rsid w:val="00D40492"/>
    <w:rsid w:val="00D407A7"/>
    <w:rsid w:val="00D40897"/>
    <w:rsid w:val="00D40AD9"/>
    <w:rsid w:val="00D41021"/>
    <w:rsid w:val="00D41162"/>
    <w:rsid w:val="00D41187"/>
    <w:rsid w:val="00D418B5"/>
    <w:rsid w:val="00D41BE5"/>
    <w:rsid w:val="00D41E32"/>
    <w:rsid w:val="00D41FD7"/>
    <w:rsid w:val="00D4249D"/>
    <w:rsid w:val="00D42607"/>
    <w:rsid w:val="00D42915"/>
    <w:rsid w:val="00D42BDF"/>
    <w:rsid w:val="00D42C0C"/>
    <w:rsid w:val="00D43211"/>
    <w:rsid w:val="00D43422"/>
    <w:rsid w:val="00D4349D"/>
    <w:rsid w:val="00D435D7"/>
    <w:rsid w:val="00D43622"/>
    <w:rsid w:val="00D43624"/>
    <w:rsid w:val="00D438DD"/>
    <w:rsid w:val="00D438E9"/>
    <w:rsid w:val="00D4395E"/>
    <w:rsid w:val="00D43E1A"/>
    <w:rsid w:val="00D4416F"/>
    <w:rsid w:val="00D441FC"/>
    <w:rsid w:val="00D442FC"/>
    <w:rsid w:val="00D4490D"/>
    <w:rsid w:val="00D44F3A"/>
    <w:rsid w:val="00D45022"/>
    <w:rsid w:val="00D453AB"/>
    <w:rsid w:val="00D456A1"/>
    <w:rsid w:val="00D45BCF"/>
    <w:rsid w:val="00D46CAC"/>
    <w:rsid w:val="00D47215"/>
    <w:rsid w:val="00D4770B"/>
    <w:rsid w:val="00D47BF4"/>
    <w:rsid w:val="00D47DC4"/>
    <w:rsid w:val="00D50413"/>
    <w:rsid w:val="00D509FE"/>
    <w:rsid w:val="00D50CD4"/>
    <w:rsid w:val="00D50E4E"/>
    <w:rsid w:val="00D50E64"/>
    <w:rsid w:val="00D510BF"/>
    <w:rsid w:val="00D515E4"/>
    <w:rsid w:val="00D51975"/>
    <w:rsid w:val="00D5224D"/>
    <w:rsid w:val="00D5286B"/>
    <w:rsid w:val="00D52D5E"/>
    <w:rsid w:val="00D53356"/>
    <w:rsid w:val="00D53411"/>
    <w:rsid w:val="00D53699"/>
    <w:rsid w:val="00D5399E"/>
    <w:rsid w:val="00D539FD"/>
    <w:rsid w:val="00D53C76"/>
    <w:rsid w:val="00D53E68"/>
    <w:rsid w:val="00D54530"/>
    <w:rsid w:val="00D54A53"/>
    <w:rsid w:val="00D54E3E"/>
    <w:rsid w:val="00D550BF"/>
    <w:rsid w:val="00D55358"/>
    <w:rsid w:val="00D55FA1"/>
    <w:rsid w:val="00D5617F"/>
    <w:rsid w:val="00D56543"/>
    <w:rsid w:val="00D56547"/>
    <w:rsid w:val="00D566BD"/>
    <w:rsid w:val="00D5670F"/>
    <w:rsid w:val="00D56726"/>
    <w:rsid w:val="00D56B36"/>
    <w:rsid w:val="00D56F80"/>
    <w:rsid w:val="00D5719F"/>
    <w:rsid w:val="00D576A4"/>
    <w:rsid w:val="00D57905"/>
    <w:rsid w:val="00D60235"/>
    <w:rsid w:val="00D6057E"/>
    <w:rsid w:val="00D6076B"/>
    <w:rsid w:val="00D60956"/>
    <w:rsid w:val="00D60B98"/>
    <w:rsid w:val="00D60C20"/>
    <w:rsid w:val="00D60E78"/>
    <w:rsid w:val="00D6116B"/>
    <w:rsid w:val="00D611CD"/>
    <w:rsid w:val="00D61832"/>
    <w:rsid w:val="00D61F9C"/>
    <w:rsid w:val="00D623C6"/>
    <w:rsid w:val="00D62449"/>
    <w:rsid w:val="00D6251B"/>
    <w:rsid w:val="00D626BC"/>
    <w:rsid w:val="00D627EA"/>
    <w:rsid w:val="00D62BA0"/>
    <w:rsid w:val="00D62BAC"/>
    <w:rsid w:val="00D62F1D"/>
    <w:rsid w:val="00D63070"/>
    <w:rsid w:val="00D63BAA"/>
    <w:rsid w:val="00D63C2C"/>
    <w:rsid w:val="00D63D1B"/>
    <w:rsid w:val="00D63EFD"/>
    <w:rsid w:val="00D64410"/>
    <w:rsid w:val="00D644F8"/>
    <w:rsid w:val="00D64550"/>
    <w:rsid w:val="00D64662"/>
    <w:rsid w:val="00D64FEA"/>
    <w:rsid w:val="00D650C0"/>
    <w:rsid w:val="00D6523A"/>
    <w:rsid w:val="00D6540A"/>
    <w:rsid w:val="00D6546B"/>
    <w:rsid w:val="00D6585D"/>
    <w:rsid w:val="00D658F6"/>
    <w:rsid w:val="00D65DDE"/>
    <w:rsid w:val="00D65EF2"/>
    <w:rsid w:val="00D65FE3"/>
    <w:rsid w:val="00D6655D"/>
    <w:rsid w:val="00D665D3"/>
    <w:rsid w:val="00D66ABE"/>
    <w:rsid w:val="00D66B90"/>
    <w:rsid w:val="00D67078"/>
    <w:rsid w:val="00D678E8"/>
    <w:rsid w:val="00D67D74"/>
    <w:rsid w:val="00D7005B"/>
    <w:rsid w:val="00D7049A"/>
    <w:rsid w:val="00D706F5"/>
    <w:rsid w:val="00D70760"/>
    <w:rsid w:val="00D70940"/>
    <w:rsid w:val="00D70E99"/>
    <w:rsid w:val="00D71AD0"/>
    <w:rsid w:val="00D71AD7"/>
    <w:rsid w:val="00D72468"/>
    <w:rsid w:val="00D72925"/>
    <w:rsid w:val="00D72926"/>
    <w:rsid w:val="00D72D95"/>
    <w:rsid w:val="00D7315D"/>
    <w:rsid w:val="00D73440"/>
    <w:rsid w:val="00D73A6E"/>
    <w:rsid w:val="00D73B28"/>
    <w:rsid w:val="00D73F85"/>
    <w:rsid w:val="00D74201"/>
    <w:rsid w:val="00D742DD"/>
    <w:rsid w:val="00D74542"/>
    <w:rsid w:val="00D74566"/>
    <w:rsid w:val="00D74C9D"/>
    <w:rsid w:val="00D74ED3"/>
    <w:rsid w:val="00D74F38"/>
    <w:rsid w:val="00D75159"/>
    <w:rsid w:val="00D759F2"/>
    <w:rsid w:val="00D75E52"/>
    <w:rsid w:val="00D76284"/>
    <w:rsid w:val="00D763B4"/>
    <w:rsid w:val="00D76434"/>
    <w:rsid w:val="00D764C1"/>
    <w:rsid w:val="00D765B9"/>
    <w:rsid w:val="00D7687D"/>
    <w:rsid w:val="00D769DE"/>
    <w:rsid w:val="00D76E74"/>
    <w:rsid w:val="00D770DF"/>
    <w:rsid w:val="00D7746C"/>
    <w:rsid w:val="00D80405"/>
    <w:rsid w:val="00D806D2"/>
    <w:rsid w:val="00D8087C"/>
    <w:rsid w:val="00D80F6A"/>
    <w:rsid w:val="00D8141C"/>
    <w:rsid w:val="00D81556"/>
    <w:rsid w:val="00D81757"/>
    <w:rsid w:val="00D81E97"/>
    <w:rsid w:val="00D81EFB"/>
    <w:rsid w:val="00D82125"/>
    <w:rsid w:val="00D82533"/>
    <w:rsid w:val="00D82702"/>
    <w:rsid w:val="00D829BD"/>
    <w:rsid w:val="00D82A1D"/>
    <w:rsid w:val="00D82B47"/>
    <w:rsid w:val="00D82BB5"/>
    <w:rsid w:val="00D82EC1"/>
    <w:rsid w:val="00D82F23"/>
    <w:rsid w:val="00D832B6"/>
    <w:rsid w:val="00D83A95"/>
    <w:rsid w:val="00D83B76"/>
    <w:rsid w:val="00D83B9E"/>
    <w:rsid w:val="00D83E7B"/>
    <w:rsid w:val="00D8453D"/>
    <w:rsid w:val="00D84AFE"/>
    <w:rsid w:val="00D85563"/>
    <w:rsid w:val="00D85906"/>
    <w:rsid w:val="00D859EB"/>
    <w:rsid w:val="00D86519"/>
    <w:rsid w:val="00D8660E"/>
    <w:rsid w:val="00D8691E"/>
    <w:rsid w:val="00D8701F"/>
    <w:rsid w:val="00D87051"/>
    <w:rsid w:val="00D8730E"/>
    <w:rsid w:val="00D87715"/>
    <w:rsid w:val="00D87BAF"/>
    <w:rsid w:val="00D87C26"/>
    <w:rsid w:val="00D87F63"/>
    <w:rsid w:val="00D87F6E"/>
    <w:rsid w:val="00D90BFE"/>
    <w:rsid w:val="00D91214"/>
    <w:rsid w:val="00D91DB9"/>
    <w:rsid w:val="00D91E29"/>
    <w:rsid w:val="00D91E2C"/>
    <w:rsid w:val="00D92224"/>
    <w:rsid w:val="00D923F9"/>
    <w:rsid w:val="00D924DA"/>
    <w:rsid w:val="00D92592"/>
    <w:rsid w:val="00D92963"/>
    <w:rsid w:val="00D92BF6"/>
    <w:rsid w:val="00D92CBF"/>
    <w:rsid w:val="00D92E0E"/>
    <w:rsid w:val="00D92EEA"/>
    <w:rsid w:val="00D935A4"/>
    <w:rsid w:val="00D93818"/>
    <w:rsid w:val="00D939EE"/>
    <w:rsid w:val="00D93EFF"/>
    <w:rsid w:val="00D94613"/>
    <w:rsid w:val="00D94842"/>
    <w:rsid w:val="00D94BE3"/>
    <w:rsid w:val="00D95554"/>
    <w:rsid w:val="00D95605"/>
    <w:rsid w:val="00D95639"/>
    <w:rsid w:val="00D95667"/>
    <w:rsid w:val="00D95C91"/>
    <w:rsid w:val="00D95D63"/>
    <w:rsid w:val="00D95E5C"/>
    <w:rsid w:val="00D960BF"/>
    <w:rsid w:val="00D961C0"/>
    <w:rsid w:val="00D962DD"/>
    <w:rsid w:val="00D962FA"/>
    <w:rsid w:val="00D9635B"/>
    <w:rsid w:val="00D966D1"/>
    <w:rsid w:val="00D967FC"/>
    <w:rsid w:val="00D96856"/>
    <w:rsid w:val="00D96B43"/>
    <w:rsid w:val="00D96F43"/>
    <w:rsid w:val="00D96FD5"/>
    <w:rsid w:val="00D9730B"/>
    <w:rsid w:val="00D97460"/>
    <w:rsid w:val="00D97749"/>
    <w:rsid w:val="00DA0206"/>
    <w:rsid w:val="00DA02BE"/>
    <w:rsid w:val="00DA02F1"/>
    <w:rsid w:val="00DA0545"/>
    <w:rsid w:val="00DA097E"/>
    <w:rsid w:val="00DA0DD6"/>
    <w:rsid w:val="00DA0DE2"/>
    <w:rsid w:val="00DA12A8"/>
    <w:rsid w:val="00DA1F54"/>
    <w:rsid w:val="00DA209D"/>
    <w:rsid w:val="00DA21CB"/>
    <w:rsid w:val="00DA288E"/>
    <w:rsid w:val="00DA28BD"/>
    <w:rsid w:val="00DA2A9C"/>
    <w:rsid w:val="00DA2B5B"/>
    <w:rsid w:val="00DA2C18"/>
    <w:rsid w:val="00DA2C3B"/>
    <w:rsid w:val="00DA2D7F"/>
    <w:rsid w:val="00DA2E26"/>
    <w:rsid w:val="00DA3046"/>
    <w:rsid w:val="00DA32E3"/>
    <w:rsid w:val="00DA32F7"/>
    <w:rsid w:val="00DA388B"/>
    <w:rsid w:val="00DA3925"/>
    <w:rsid w:val="00DA3A8F"/>
    <w:rsid w:val="00DA3BC0"/>
    <w:rsid w:val="00DA41C4"/>
    <w:rsid w:val="00DA4380"/>
    <w:rsid w:val="00DA4B7B"/>
    <w:rsid w:val="00DA4E9E"/>
    <w:rsid w:val="00DA5103"/>
    <w:rsid w:val="00DA5121"/>
    <w:rsid w:val="00DA5949"/>
    <w:rsid w:val="00DA5B82"/>
    <w:rsid w:val="00DA5FD0"/>
    <w:rsid w:val="00DA6476"/>
    <w:rsid w:val="00DA64DC"/>
    <w:rsid w:val="00DA6678"/>
    <w:rsid w:val="00DA6852"/>
    <w:rsid w:val="00DA6C62"/>
    <w:rsid w:val="00DA6F1C"/>
    <w:rsid w:val="00DA72EB"/>
    <w:rsid w:val="00DA756E"/>
    <w:rsid w:val="00DA766E"/>
    <w:rsid w:val="00DA7B80"/>
    <w:rsid w:val="00DB00C9"/>
    <w:rsid w:val="00DB0227"/>
    <w:rsid w:val="00DB0A5C"/>
    <w:rsid w:val="00DB1077"/>
    <w:rsid w:val="00DB1512"/>
    <w:rsid w:val="00DB1909"/>
    <w:rsid w:val="00DB1E26"/>
    <w:rsid w:val="00DB1E38"/>
    <w:rsid w:val="00DB1F67"/>
    <w:rsid w:val="00DB2155"/>
    <w:rsid w:val="00DB2227"/>
    <w:rsid w:val="00DB2441"/>
    <w:rsid w:val="00DB34D4"/>
    <w:rsid w:val="00DB398F"/>
    <w:rsid w:val="00DB3B25"/>
    <w:rsid w:val="00DB3CFA"/>
    <w:rsid w:val="00DB443B"/>
    <w:rsid w:val="00DB458B"/>
    <w:rsid w:val="00DB464C"/>
    <w:rsid w:val="00DB4BEC"/>
    <w:rsid w:val="00DB510C"/>
    <w:rsid w:val="00DB51C5"/>
    <w:rsid w:val="00DB536C"/>
    <w:rsid w:val="00DB5498"/>
    <w:rsid w:val="00DB570E"/>
    <w:rsid w:val="00DB5990"/>
    <w:rsid w:val="00DB5A6B"/>
    <w:rsid w:val="00DB631D"/>
    <w:rsid w:val="00DB6651"/>
    <w:rsid w:val="00DB6853"/>
    <w:rsid w:val="00DB6C5A"/>
    <w:rsid w:val="00DB6EDE"/>
    <w:rsid w:val="00DB6FAC"/>
    <w:rsid w:val="00DB7125"/>
    <w:rsid w:val="00DB7720"/>
    <w:rsid w:val="00DB78B2"/>
    <w:rsid w:val="00DB790E"/>
    <w:rsid w:val="00DC0264"/>
    <w:rsid w:val="00DC082C"/>
    <w:rsid w:val="00DC0E78"/>
    <w:rsid w:val="00DC1052"/>
    <w:rsid w:val="00DC112F"/>
    <w:rsid w:val="00DC151B"/>
    <w:rsid w:val="00DC1BB4"/>
    <w:rsid w:val="00DC1BDC"/>
    <w:rsid w:val="00DC1BF3"/>
    <w:rsid w:val="00DC1D70"/>
    <w:rsid w:val="00DC1F88"/>
    <w:rsid w:val="00DC23C6"/>
    <w:rsid w:val="00DC27F1"/>
    <w:rsid w:val="00DC2B86"/>
    <w:rsid w:val="00DC2BCE"/>
    <w:rsid w:val="00DC311D"/>
    <w:rsid w:val="00DC331F"/>
    <w:rsid w:val="00DC364A"/>
    <w:rsid w:val="00DC3884"/>
    <w:rsid w:val="00DC3935"/>
    <w:rsid w:val="00DC3A20"/>
    <w:rsid w:val="00DC3A3B"/>
    <w:rsid w:val="00DC3AEA"/>
    <w:rsid w:val="00DC3CD2"/>
    <w:rsid w:val="00DC4157"/>
    <w:rsid w:val="00DC48F3"/>
    <w:rsid w:val="00DC4ACA"/>
    <w:rsid w:val="00DC4AE1"/>
    <w:rsid w:val="00DC5BD1"/>
    <w:rsid w:val="00DC612C"/>
    <w:rsid w:val="00DC62D3"/>
    <w:rsid w:val="00DC636A"/>
    <w:rsid w:val="00DC6D21"/>
    <w:rsid w:val="00DC6D8A"/>
    <w:rsid w:val="00DC7244"/>
    <w:rsid w:val="00DC78B3"/>
    <w:rsid w:val="00DC794C"/>
    <w:rsid w:val="00DC7CDA"/>
    <w:rsid w:val="00DC7E33"/>
    <w:rsid w:val="00DD011C"/>
    <w:rsid w:val="00DD038D"/>
    <w:rsid w:val="00DD0615"/>
    <w:rsid w:val="00DD06E0"/>
    <w:rsid w:val="00DD06EB"/>
    <w:rsid w:val="00DD081A"/>
    <w:rsid w:val="00DD096B"/>
    <w:rsid w:val="00DD1079"/>
    <w:rsid w:val="00DD117B"/>
    <w:rsid w:val="00DD131A"/>
    <w:rsid w:val="00DD16BA"/>
    <w:rsid w:val="00DD1888"/>
    <w:rsid w:val="00DD1B5E"/>
    <w:rsid w:val="00DD1C68"/>
    <w:rsid w:val="00DD262A"/>
    <w:rsid w:val="00DD2677"/>
    <w:rsid w:val="00DD3000"/>
    <w:rsid w:val="00DD31BD"/>
    <w:rsid w:val="00DD323B"/>
    <w:rsid w:val="00DD34A2"/>
    <w:rsid w:val="00DD35D8"/>
    <w:rsid w:val="00DD3ECA"/>
    <w:rsid w:val="00DD44BF"/>
    <w:rsid w:val="00DD4C8C"/>
    <w:rsid w:val="00DD4F93"/>
    <w:rsid w:val="00DD51C0"/>
    <w:rsid w:val="00DD5344"/>
    <w:rsid w:val="00DD58FC"/>
    <w:rsid w:val="00DD5FED"/>
    <w:rsid w:val="00DD6009"/>
    <w:rsid w:val="00DD62C0"/>
    <w:rsid w:val="00DD6384"/>
    <w:rsid w:val="00DD676B"/>
    <w:rsid w:val="00DD6DCC"/>
    <w:rsid w:val="00DD6F51"/>
    <w:rsid w:val="00DD7246"/>
    <w:rsid w:val="00DD7533"/>
    <w:rsid w:val="00DD78BE"/>
    <w:rsid w:val="00DE02A2"/>
    <w:rsid w:val="00DE039C"/>
    <w:rsid w:val="00DE05F3"/>
    <w:rsid w:val="00DE0A88"/>
    <w:rsid w:val="00DE0ADB"/>
    <w:rsid w:val="00DE0DA1"/>
    <w:rsid w:val="00DE12A4"/>
    <w:rsid w:val="00DE1874"/>
    <w:rsid w:val="00DE1C34"/>
    <w:rsid w:val="00DE237C"/>
    <w:rsid w:val="00DE23E1"/>
    <w:rsid w:val="00DE2559"/>
    <w:rsid w:val="00DE296E"/>
    <w:rsid w:val="00DE2E79"/>
    <w:rsid w:val="00DE335D"/>
    <w:rsid w:val="00DE340B"/>
    <w:rsid w:val="00DE404B"/>
    <w:rsid w:val="00DE408D"/>
    <w:rsid w:val="00DE4158"/>
    <w:rsid w:val="00DE4885"/>
    <w:rsid w:val="00DE4AE1"/>
    <w:rsid w:val="00DE525B"/>
    <w:rsid w:val="00DE56DE"/>
    <w:rsid w:val="00DE600F"/>
    <w:rsid w:val="00DE67C2"/>
    <w:rsid w:val="00DE6BD4"/>
    <w:rsid w:val="00DE70FE"/>
    <w:rsid w:val="00DE787C"/>
    <w:rsid w:val="00DE7BCB"/>
    <w:rsid w:val="00DF0123"/>
    <w:rsid w:val="00DF09D3"/>
    <w:rsid w:val="00DF0AD3"/>
    <w:rsid w:val="00DF0D76"/>
    <w:rsid w:val="00DF12D0"/>
    <w:rsid w:val="00DF14DF"/>
    <w:rsid w:val="00DF2082"/>
    <w:rsid w:val="00DF24CA"/>
    <w:rsid w:val="00DF2993"/>
    <w:rsid w:val="00DF2A40"/>
    <w:rsid w:val="00DF2D74"/>
    <w:rsid w:val="00DF2FFD"/>
    <w:rsid w:val="00DF3082"/>
    <w:rsid w:val="00DF30E4"/>
    <w:rsid w:val="00DF33AC"/>
    <w:rsid w:val="00DF33D9"/>
    <w:rsid w:val="00DF343C"/>
    <w:rsid w:val="00DF3694"/>
    <w:rsid w:val="00DF36E7"/>
    <w:rsid w:val="00DF3B67"/>
    <w:rsid w:val="00DF3D10"/>
    <w:rsid w:val="00DF3F9D"/>
    <w:rsid w:val="00DF432A"/>
    <w:rsid w:val="00DF466A"/>
    <w:rsid w:val="00DF547D"/>
    <w:rsid w:val="00DF5A0E"/>
    <w:rsid w:val="00DF5C37"/>
    <w:rsid w:val="00DF5FDA"/>
    <w:rsid w:val="00DF60D0"/>
    <w:rsid w:val="00DF651E"/>
    <w:rsid w:val="00DF665F"/>
    <w:rsid w:val="00DF6766"/>
    <w:rsid w:val="00DF7053"/>
    <w:rsid w:val="00DF708F"/>
    <w:rsid w:val="00DF730B"/>
    <w:rsid w:val="00DF737C"/>
    <w:rsid w:val="00DF73A6"/>
    <w:rsid w:val="00DF73E4"/>
    <w:rsid w:val="00DF742B"/>
    <w:rsid w:val="00DF7D37"/>
    <w:rsid w:val="00DF7E6A"/>
    <w:rsid w:val="00E00704"/>
    <w:rsid w:val="00E008A4"/>
    <w:rsid w:val="00E009E0"/>
    <w:rsid w:val="00E0144D"/>
    <w:rsid w:val="00E0159B"/>
    <w:rsid w:val="00E01782"/>
    <w:rsid w:val="00E01A26"/>
    <w:rsid w:val="00E01E64"/>
    <w:rsid w:val="00E01F28"/>
    <w:rsid w:val="00E02556"/>
    <w:rsid w:val="00E02904"/>
    <w:rsid w:val="00E02A23"/>
    <w:rsid w:val="00E02FEF"/>
    <w:rsid w:val="00E03013"/>
    <w:rsid w:val="00E03795"/>
    <w:rsid w:val="00E037FE"/>
    <w:rsid w:val="00E03BA9"/>
    <w:rsid w:val="00E03C26"/>
    <w:rsid w:val="00E04204"/>
    <w:rsid w:val="00E042F9"/>
    <w:rsid w:val="00E04D46"/>
    <w:rsid w:val="00E05337"/>
    <w:rsid w:val="00E05379"/>
    <w:rsid w:val="00E05AF4"/>
    <w:rsid w:val="00E05CAA"/>
    <w:rsid w:val="00E05D3A"/>
    <w:rsid w:val="00E05E1B"/>
    <w:rsid w:val="00E0607E"/>
    <w:rsid w:val="00E062DB"/>
    <w:rsid w:val="00E06747"/>
    <w:rsid w:val="00E06E41"/>
    <w:rsid w:val="00E06E63"/>
    <w:rsid w:val="00E06EFA"/>
    <w:rsid w:val="00E06F82"/>
    <w:rsid w:val="00E07195"/>
    <w:rsid w:val="00E076A4"/>
    <w:rsid w:val="00E07BA9"/>
    <w:rsid w:val="00E07BAA"/>
    <w:rsid w:val="00E07D31"/>
    <w:rsid w:val="00E106FD"/>
    <w:rsid w:val="00E107C4"/>
    <w:rsid w:val="00E108BE"/>
    <w:rsid w:val="00E108E6"/>
    <w:rsid w:val="00E109F5"/>
    <w:rsid w:val="00E1102C"/>
    <w:rsid w:val="00E110BD"/>
    <w:rsid w:val="00E117D4"/>
    <w:rsid w:val="00E11813"/>
    <w:rsid w:val="00E11DE1"/>
    <w:rsid w:val="00E11EF2"/>
    <w:rsid w:val="00E11FA1"/>
    <w:rsid w:val="00E120CE"/>
    <w:rsid w:val="00E122BF"/>
    <w:rsid w:val="00E1282B"/>
    <w:rsid w:val="00E12D64"/>
    <w:rsid w:val="00E1340E"/>
    <w:rsid w:val="00E134FC"/>
    <w:rsid w:val="00E13F54"/>
    <w:rsid w:val="00E140EF"/>
    <w:rsid w:val="00E14803"/>
    <w:rsid w:val="00E14822"/>
    <w:rsid w:val="00E1482D"/>
    <w:rsid w:val="00E14B85"/>
    <w:rsid w:val="00E14D2F"/>
    <w:rsid w:val="00E14D4E"/>
    <w:rsid w:val="00E14EE1"/>
    <w:rsid w:val="00E15000"/>
    <w:rsid w:val="00E15F86"/>
    <w:rsid w:val="00E1620E"/>
    <w:rsid w:val="00E16320"/>
    <w:rsid w:val="00E1682C"/>
    <w:rsid w:val="00E1690C"/>
    <w:rsid w:val="00E16FF1"/>
    <w:rsid w:val="00E17070"/>
    <w:rsid w:val="00E174F2"/>
    <w:rsid w:val="00E176CE"/>
    <w:rsid w:val="00E17A7F"/>
    <w:rsid w:val="00E20066"/>
    <w:rsid w:val="00E201B1"/>
    <w:rsid w:val="00E2056F"/>
    <w:rsid w:val="00E2083F"/>
    <w:rsid w:val="00E20908"/>
    <w:rsid w:val="00E2093A"/>
    <w:rsid w:val="00E20C22"/>
    <w:rsid w:val="00E216FC"/>
    <w:rsid w:val="00E21799"/>
    <w:rsid w:val="00E21993"/>
    <w:rsid w:val="00E21A37"/>
    <w:rsid w:val="00E21F23"/>
    <w:rsid w:val="00E21F7C"/>
    <w:rsid w:val="00E21FA1"/>
    <w:rsid w:val="00E22023"/>
    <w:rsid w:val="00E220B5"/>
    <w:rsid w:val="00E22229"/>
    <w:rsid w:val="00E22467"/>
    <w:rsid w:val="00E224C8"/>
    <w:rsid w:val="00E224E0"/>
    <w:rsid w:val="00E22A19"/>
    <w:rsid w:val="00E22BEF"/>
    <w:rsid w:val="00E22F37"/>
    <w:rsid w:val="00E23B5F"/>
    <w:rsid w:val="00E23EDD"/>
    <w:rsid w:val="00E24271"/>
    <w:rsid w:val="00E243D4"/>
    <w:rsid w:val="00E24435"/>
    <w:rsid w:val="00E245FC"/>
    <w:rsid w:val="00E247B5"/>
    <w:rsid w:val="00E24BC3"/>
    <w:rsid w:val="00E24BD3"/>
    <w:rsid w:val="00E24F4C"/>
    <w:rsid w:val="00E25217"/>
    <w:rsid w:val="00E253F9"/>
    <w:rsid w:val="00E2599F"/>
    <w:rsid w:val="00E262EB"/>
    <w:rsid w:val="00E26308"/>
    <w:rsid w:val="00E26CE1"/>
    <w:rsid w:val="00E26D1A"/>
    <w:rsid w:val="00E26DCB"/>
    <w:rsid w:val="00E272E0"/>
    <w:rsid w:val="00E272F0"/>
    <w:rsid w:val="00E274DF"/>
    <w:rsid w:val="00E275A1"/>
    <w:rsid w:val="00E2766C"/>
    <w:rsid w:val="00E27813"/>
    <w:rsid w:val="00E27AEC"/>
    <w:rsid w:val="00E27C1F"/>
    <w:rsid w:val="00E27EC2"/>
    <w:rsid w:val="00E30219"/>
    <w:rsid w:val="00E309F8"/>
    <w:rsid w:val="00E30A18"/>
    <w:rsid w:val="00E30F1E"/>
    <w:rsid w:val="00E311A5"/>
    <w:rsid w:val="00E3162B"/>
    <w:rsid w:val="00E31E58"/>
    <w:rsid w:val="00E3200A"/>
    <w:rsid w:val="00E3208B"/>
    <w:rsid w:val="00E32099"/>
    <w:rsid w:val="00E32463"/>
    <w:rsid w:val="00E324F0"/>
    <w:rsid w:val="00E3297D"/>
    <w:rsid w:val="00E32FAE"/>
    <w:rsid w:val="00E33247"/>
    <w:rsid w:val="00E3360F"/>
    <w:rsid w:val="00E33632"/>
    <w:rsid w:val="00E3386D"/>
    <w:rsid w:val="00E33A2C"/>
    <w:rsid w:val="00E33DF0"/>
    <w:rsid w:val="00E33EFB"/>
    <w:rsid w:val="00E3413F"/>
    <w:rsid w:val="00E34665"/>
    <w:rsid w:val="00E34EA4"/>
    <w:rsid w:val="00E35024"/>
    <w:rsid w:val="00E35FC0"/>
    <w:rsid w:val="00E36691"/>
    <w:rsid w:val="00E36FFC"/>
    <w:rsid w:val="00E37192"/>
    <w:rsid w:val="00E37257"/>
    <w:rsid w:val="00E37264"/>
    <w:rsid w:val="00E376AB"/>
    <w:rsid w:val="00E37D69"/>
    <w:rsid w:val="00E4038B"/>
    <w:rsid w:val="00E40392"/>
    <w:rsid w:val="00E4067D"/>
    <w:rsid w:val="00E40BE2"/>
    <w:rsid w:val="00E40C83"/>
    <w:rsid w:val="00E413F4"/>
    <w:rsid w:val="00E41995"/>
    <w:rsid w:val="00E4217B"/>
    <w:rsid w:val="00E42318"/>
    <w:rsid w:val="00E42630"/>
    <w:rsid w:val="00E42846"/>
    <w:rsid w:val="00E42ABC"/>
    <w:rsid w:val="00E42CAE"/>
    <w:rsid w:val="00E42D4E"/>
    <w:rsid w:val="00E42E40"/>
    <w:rsid w:val="00E43142"/>
    <w:rsid w:val="00E431B3"/>
    <w:rsid w:val="00E438C1"/>
    <w:rsid w:val="00E43AF3"/>
    <w:rsid w:val="00E43B2A"/>
    <w:rsid w:val="00E43C15"/>
    <w:rsid w:val="00E43D28"/>
    <w:rsid w:val="00E43D77"/>
    <w:rsid w:val="00E43E0E"/>
    <w:rsid w:val="00E43FCA"/>
    <w:rsid w:val="00E440C7"/>
    <w:rsid w:val="00E4419C"/>
    <w:rsid w:val="00E443B6"/>
    <w:rsid w:val="00E445A2"/>
    <w:rsid w:val="00E449C4"/>
    <w:rsid w:val="00E44B56"/>
    <w:rsid w:val="00E44F53"/>
    <w:rsid w:val="00E450A1"/>
    <w:rsid w:val="00E45152"/>
    <w:rsid w:val="00E453B9"/>
    <w:rsid w:val="00E456CC"/>
    <w:rsid w:val="00E4580A"/>
    <w:rsid w:val="00E45A80"/>
    <w:rsid w:val="00E45F6C"/>
    <w:rsid w:val="00E45F6D"/>
    <w:rsid w:val="00E465A4"/>
    <w:rsid w:val="00E465FF"/>
    <w:rsid w:val="00E4669D"/>
    <w:rsid w:val="00E467A7"/>
    <w:rsid w:val="00E46990"/>
    <w:rsid w:val="00E46EAB"/>
    <w:rsid w:val="00E470B8"/>
    <w:rsid w:val="00E471B0"/>
    <w:rsid w:val="00E50145"/>
    <w:rsid w:val="00E501A8"/>
    <w:rsid w:val="00E50E08"/>
    <w:rsid w:val="00E510F7"/>
    <w:rsid w:val="00E510FB"/>
    <w:rsid w:val="00E512B2"/>
    <w:rsid w:val="00E51323"/>
    <w:rsid w:val="00E51669"/>
    <w:rsid w:val="00E51BAE"/>
    <w:rsid w:val="00E52405"/>
    <w:rsid w:val="00E5265C"/>
    <w:rsid w:val="00E52B17"/>
    <w:rsid w:val="00E52CBA"/>
    <w:rsid w:val="00E52F95"/>
    <w:rsid w:val="00E53455"/>
    <w:rsid w:val="00E53A25"/>
    <w:rsid w:val="00E53A46"/>
    <w:rsid w:val="00E53AFB"/>
    <w:rsid w:val="00E53F0B"/>
    <w:rsid w:val="00E53F42"/>
    <w:rsid w:val="00E53F5E"/>
    <w:rsid w:val="00E5420A"/>
    <w:rsid w:val="00E545BB"/>
    <w:rsid w:val="00E54FE7"/>
    <w:rsid w:val="00E55167"/>
    <w:rsid w:val="00E5527D"/>
    <w:rsid w:val="00E55314"/>
    <w:rsid w:val="00E55634"/>
    <w:rsid w:val="00E55903"/>
    <w:rsid w:val="00E55D6B"/>
    <w:rsid w:val="00E5622A"/>
    <w:rsid w:val="00E5623A"/>
    <w:rsid w:val="00E56374"/>
    <w:rsid w:val="00E56541"/>
    <w:rsid w:val="00E56558"/>
    <w:rsid w:val="00E56992"/>
    <w:rsid w:val="00E56A56"/>
    <w:rsid w:val="00E56CB3"/>
    <w:rsid w:val="00E56E04"/>
    <w:rsid w:val="00E57086"/>
    <w:rsid w:val="00E573EB"/>
    <w:rsid w:val="00E573F5"/>
    <w:rsid w:val="00E579DD"/>
    <w:rsid w:val="00E604F5"/>
    <w:rsid w:val="00E606B9"/>
    <w:rsid w:val="00E607CA"/>
    <w:rsid w:val="00E608B1"/>
    <w:rsid w:val="00E608BB"/>
    <w:rsid w:val="00E60FE0"/>
    <w:rsid w:val="00E612E6"/>
    <w:rsid w:val="00E616DE"/>
    <w:rsid w:val="00E617D2"/>
    <w:rsid w:val="00E61AA7"/>
    <w:rsid w:val="00E61C34"/>
    <w:rsid w:val="00E61DC2"/>
    <w:rsid w:val="00E62410"/>
    <w:rsid w:val="00E62547"/>
    <w:rsid w:val="00E625A7"/>
    <w:rsid w:val="00E626CD"/>
    <w:rsid w:val="00E62979"/>
    <w:rsid w:val="00E629D2"/>
    <w:rsid w:val="00E63034"/>
    <w:rsid w:val="00E63245"/>
    <w:rsid w:val="00E635A1"/>
    <w:rsid w:val="00E636C2"/>
    <w:rsid w:val="00E637A9"/>
    <w:rsid w:val="00E639A8"/>
    <w:rsid w:val="00E63B9B"/>
    <w:rsid w:val="00E63E4B"/>
    <w:rsid w:val="00E641D9"/>
    <w:rsid w:val="00E646FE"/>
    <w:rsid w:val="00E64980"/>
    <w:rsid w:val="00E64C62"/>
    <w:rsid w:val="00E64F11"/>
    <w:rsid w:val="00E650B7"/>
    <w:rsid w:val="00E6516D"/>
    <w:rsid w:val="00E6557B"/>
    <w:rsid w:val="00E6571D"/>
    <w:rsid w:val="00E658E9"/>
    <w:rsid w:val="00E65998"/>
    <w:rsid w:val="00E65CB1"/>
    <w:rsid w:val="00E65CF8"/>
    <w:rsid w:val="00E65D26"/>
    <w:rsid w:val="00E65F9E"/>
    <w:rsid w:val="00E65FCC"/>
    <w:rsid w:val="00E660F7"/>
    <w:rsid w:val="00E661B6"/>
    <w:rsid w:val="00E66707"/>
    <w:rsid w:val="00E6674C"/>
    <w:rsid w:val="00E667DF"/>
    <w:rsid w:val="00E668ED"/>
    <w:rsid w:val="00E672C3"/>
    <w:rsid w:val="00E679E8"/>
    <w:rsid w:val="00E67B4B"/>
    <w:rsid w:val="00E67D14"/>
    <w:rsid w:val="00E701EA"/>
    <w:rsid w:val="00E702AB"/>
    <w:rsid w:val="00E706E5"/>
    <w:rsid w:val="00E707D2"/>
    <w:rsid w:val="00E70903"/>
    <w:rsid w:val="00E70C66"/>
    <w:rsid w:val="00E70ECA"/>
    <w:rsid w:val="00E70EF5"/>
    <w:rsid w:val="00E71010"/>
    <w:rsid w:val="00E7105E"/>
    <w:rsid w:val="00E7105F"/>
    <w:rsid w:val="00E71091"/>
    <w:rsid w:val="00E71107"/>
    <w:rsid w:val="00E712D6"/>
    <w:rsid w:val="00E71432"/>
    <w:rsid w:val="00E71467"/>
    <w:rsid w:val="00E715F2"/>
    <w:rsid w:val="00E7165B"/>
    <w:rsid w:val="00E71B25"/>
    <w:rsid w:val="00E71BE3"/>
    <w:rsid w:val="00E71E05"/>
    <w:rsid w:val="00E71EF0"/>
    <w:rsid w:val="00E72109"/>
    <w:rsid w:val="00E722B6"/>
    <w:rsid w:val="00E72446"/>
    <w:rsid w:val="00E7259A"/>
    <w:rsid w:val="00E7286E"/>
    <w:rsid w:val="00E72A6C"/>
    <w:rsid w:val="00E72BB0"/>
    <w:rsid w:val="00E72E6D"/>
    <w:rsid w:val="00E730C7"/>
    <w:rsid w:val="00E732FD"/>
    <w:rsid w:val="00E73428"/>
    <w:rsid w:val="00E7362A"/>
    <w:rsid w:val="00E73D1D"/>
    <w:rsid w:val="00E73D97"/>
    <w:rsid w:val="00E73E38"/>
    <w:rsid w:val="00E740DE"/>
    <w:rsid w:val="00E74105"/>
    <w:rsid w:val="00E74140"/>
    <w:rsid w:val="00E745D0"/>
    <w:rsid w:val="00E74766"/>
    <w:rsid w:val="00E749CA"/>
    <w:rsid w:val="00E74DCF"/>
    <w:rsid w:val="00E74E54"/>
    <w:rsid w:val="00E75006"/>
    <w:rsid w:val="00E754EF"/>
    <w:rsid w:val="00E7583F"/>
    <w:rsid w:val="00E75AEF"/>
    <w:rsid w:val="00E75D9E"/>
    <w:rsid w:val="00E7638F"/>
    <w:rsid w:val="00E766C3"/>
    <w:rsid w:val="00E76A78"/>
    <w:rsid w:val="00E76B9F"/>
    <w:rsid w:val="00E76CD1"/>
    <w:rsid w:val="00E76E22"/>
    <w:rsid w:val="00E77122"/>
    <w:rsid w:val="00E773CB"/>
    <w:rsid w:val="00E77638"/>
    <w:rsid w:val="00E7773D"/>
    <w:rsid w:val="00E80022"/>
    <w:rsid w:val="00E8044C"/>
    <w:rsid w:val="00E80565"/>
    <w:rsid w:val="00E809C4"/>
    <w:rsid w:val="00E80A67"/>
    <w:rsid w:val="00E80AE0"/>
    <w:rsid w:val="00E80CF0"/>
    <w:rsid w:val="00E80F61"/>
    <w:rsid w:val="00E80FEB"/>
    <w:rsid w:val="00E812F9"/>
    <w:rsid w:val="00E81EB2"/>
    <w:rsid w:val="00E82A1D"/>
    <w:rsid w:val="00E83012"/>
    <w:rsid w:val="00E83200"/>
    <w:rsid w:val="00E834C2"/>
    <w:rsid w:val="00E839E8"/>
    <w:rsid w:val="00E83B91"/>
    <w:rsid w:val="00E83CC9"/>
    <w:rsid w:val="00E8444D"/>
    <w:rsid w:val="00E8459D"/>
    <w:rsid w:val="00E84DF6"/>
    <w:rsid w:val="00E8516D"/>
    <w:rsid w:val="00E85846"/>
    <w:rsid w:val="00E85BF7"/>
    <w:rsid w:val="00E85C4A"/>
    <w:rsid w:val="00E85EB5"/>
    <w:rsid w:val="00E85F69"/>
    <w:rsid w:val="00E86030"/>
    <w:rsid w:val="00E86AF7"/>
    <w:rsid w:val="00E8724E"/>
    <w:rsid w:val="00E8742C"/>
    <w:rsid w:val="00E87904"/>
    <w:rsid w:val="00E87936"/>
    <w:rsid w:val="00E879BF"/>
    <w:rsid w:val="00E9001E"/>
    <w:rsid w:val="00E90148"/>
    <w:rsid w:val="00E9023F"/>
    <w:rsid w:val="00E904A4"/>
    <w:rsid w:val="00E90AAC"/>
    <w:rsid w:val="00E9129C"/>
    <w:rsid w:val="00E9166C"/>
    <w:rsid w:val="00E91A3D"/>
    <w:rsid w:val="00E91ACC"/>
    <w:rsid w:val="00E91BD1"/>
    <w:rsid w:val="00E91C04"/>
    <w:rsid w:val="00E91D58"/>
    <w:rsid w:val="00E91DEE"/>
    <w:rsid w:val="00E91E3A"/>
    <w:rsid w:val="00E921AC"/>
    <w:rsid w:val="00E922D7"/>
    <w:rsid w:val="00E9253A"/>
    <w:rsid w:val="00E928C3"/>
    <w:rsid w:val="00E92A4E"/>
    <w:rsid w:val="00E92AD7"/>
    <w:rsid w:val="00E92B0D"/>
    <w:rsid w:val="00E9301C"/>
    <w:rsid w:val="00E93436"/>
    <w:rsid w:val="00E939F6"/>
    <w:rsid w:val="00E93F58"/>
    <w:rsid w:val="00E93FF3"/>
    <w:rsid w:val="00E94486"/>
    <w:rsid w:val="00E9471D"/>
    <w:rsid w:val="00E947DF"/>
    <w:rsid w:val="00E94A93"/>
    <w:rsid w:val="00E94CAF"/>
    <w:rsid w:val="00E94E17"/>
    <w:rsid w:val="00E956E7"/>
    <w:rsid w:val="00E96013"/>
    <w:rsid w:val="00E960B2"/>
    <w:rsid w:val="00E962D1"/>
    <w:rsid w:val="00E967B4"/>
    <w:rsid w:val="00E967F8"/>
    <w:rsid w:val="00E9713E"/>
    <w:rsid w:val="00E977B2"/>
    <w:rsid w:val="00E97EB9"/>
    <w:rsid w:val="00EA077C"/>
    <w:rsid w:val="00EA0781"/>
    <w:rsid w:val="00EA0C8E"/>
    <w:rsid w:val="00EA0D11"/>
    <w:rsid w:val="00EA1026"/>
    <w:rsid w:val="00EA189E"/>
    <w:rsid w:val="00EA1A4A"/>
    <w:rsid w:val="00EA1E2E"/>
    <w:rsid w:val="00EA1FFF"/>
    <w:rsid w:val="00EA213D"/>
    <w:rsid w:val="00EA2407"/>
    <w:rsid w:val="00EA256C"/>
    <w:rsid w:val="00EA2B0B"/>
    <w:rsid w:val="00EA2CB5"/>
    <w:rsid w:val="00EA2EA3"/>
    <w:rsid w:val="00EA2FCC"/>
    <w:rsid w:val="00EA3141"/>
    <w:rsid w:val="00EA32AC"/>
    <w:rsid w:val="00EA34A0"/>
    <w:rsid w:val="00EA379F"/>
    <w:rsid w:val="00EA3869"/>
    <w:rsid w:val="00EA38AD"/>
    <w:rsid w:val="00EA3A28"/>
    <w:rsid w:val="00EA3AF8"/>
    <w:rsid w:val="00EA3B92"/>
    <w:rsid w:val="00EA44F2"/>
    <w:rsid w:val="00EA4BC6"/>
    <w:rsid w:val="00EA4CAC"/>
    <w:rsid w:val="00EA4D02"/>
    <w:rsid w:val="00EA50E4"/>
    <w:rsid w:val="00EA5251"/>
    <w:rsid w:val="00EA54C2"/>
    <w:rsid w:val="00EA5695"/>
    <w:rsid w:val="00EA571F"/>
    <w:rsid w:val="00EA5A98"/>
    <w:rsid w:val="00EA5CE1"/>
    <w:rsid w:val="00EA6C7A"/>
    <w:rsid w:val="00EA6D02"/>
    <w:rsid w:val="00EA6F21"/>
    <w:rsid w:val="00EA74A1"/>
    <w:rsid w:val="00EA79CF"/>
    <w:rsid w:val="00EA7B2C"/>
    <w:rsid w:val="00EA7C19"/>
    <w:rsid w:val="00EA7C9C"/>
    <w:rsid w:val="00EA7E23"/>
    <w:rsid w:val="00EA7F1A"/>
    <w:rsid w:val="00EB0007"/>
    <w:rsid w:val="00EB0051"/>
    <w:rsid w:val="00EB0092"/>
    <w:rsid w:val="00EB020C"/>
    <w:rsid w:val="00EB04D1"/>
    <w:rsid w:val="00EB05D6"/>
    <w:rsid w:val="00EB08A9"/>
    <w:rsid w:val="00EB0BC5"/>
    <w:rsid w:val="00EB0E9C"/>
    <w:rsid w:val="00EB11F7"/>
    <w:rsid w:val="00EB132E"/>
    <w:rsid w:val="00EB169F"/>
    <w:rsid w:val="00EB17AD"/>
    <w:rsid w:val="00EB1EC5"/>
    <w:rsid w:val="00EB21BE"/>
    <w:rsid w:val="00EB21C8"/>
    <w:rsid w:val="00EB2349"/>
    <w:rsid w:val="00EB289D"/>
    <w:rsid w:val="00EB2D1C"/>
    <w:rsid w:val="00EB2E51"/>
    <w:rsid w:val="00EB2E52"/>
    <w:rsid w:val="00EB3045"/>
    <w:rsid w:val="00EB30BF"/>
    <w:rsid w:val="00EB3514"/>
    <w:rsid w:val="00EB36A6"/>
    <w:rsid w:val="00EB377E"/>
    <w:rsid w:val="00EB38EE"/>
    <w:rsid w:val="00EB466D"/>
    <w:rsid w:val="00EB47BF"/>
    <w:rsid w:val="00EB485C"/>
    <w:rsid w:val="00EB5079"/>
    <w:rsid w:val="00EB517B"/>
    <w:rsid w:val="00EB5D0F"/>
    <w:rsid w:val="00EB5F19"/>
    <w:rsid w:val="00EB5F8E"/>
    <w:rsid w:val="00EB6D44"/>
    <w:rsid w:val="00EB6D7E"/>
    <w:rsid w:val="00EB6D9F"/>
    <w:rsid w:val="00EB7455"/>
    <w:rsid w:val="00EB782F"/>
    <w:rsid w:val="00EB7A84"/>
    <w:rsid w:val="00EB7BC7"/>
    <w:rsid w:val="00EB7D59"/>
    <w:rsid w:val="00EC01D1"/>
    <w:rsid w:val="00EC02E0"/>
    <w:rsid w:val="00EC04AC"/>
    <w:rsid w:val="00EC0BE8"/>
    <w:rsid w:val="00EC0F28"/>
    <w:rsid w:val="00EC104F"/>
    <w:rsid w:val="00EC1080"/>
    <w:rsid w:val="00EC18E7"/>
    <w:rsid w:val="00EC27BB"/>
    <w:rsid w:val="00EC35A5"/>
    <w:rsid w:val="00EC372A"/>
    <w:rsid w:val="00EC38D3"/>
    <w:rsid w:val="00EC3911"/>
    <w:rsid w:val="00EC394E"/>
    <w:rsid w:val="00EC39E2"/>
    <w:rsid w:val="00EC3BD1"/>
    <w:rsid w:val="00EC3E28"/>
    <w:rsid w:val="00EC40DC"/>
    <w:rsid w:val="00EC4709"/>
    <w:rsid w:val="00EC5B3F"/>
    <w:rsid w:val="00EC5BB9"/>
    <w:rsid w:val="00EC5CC0"/>
    <w:rsid w:val="00EC5F01"/>
    <w:rsid w:val="00EC6216"/>
    <w:rsid w:val="00EC6346"/>
    <w:rsid w:val="00EC6447"/>
    <w:rsid w:val="00EC648E"/>
    <w:rsid w:val="00EC6CB7"/>
    <w:rsid w:val="00EC6D4E"/>
    <w:rsid w:val="00EC6E96"/>
    <w:rsid w:val="00EC71FD"/>
    <w:rsid w:val="00EC7321"/>
    <w:rsid w:val="00EC762E"/>
    <w:rsid w:val="00EC76A0"/>
    <w:rsid w:val="00EC7C26"/>
    <w:rsid w:val="00EC7D12"/>
    <w:rsid w:val="00ED036F"/>
    <w:rsid w:val="00ED0953"/>
    <w:rsid w:val="00ED0D17"/>
    <w:rsid w:val="00ED1037"/>
    <w:rsid w:val="00ED14A6"/>
    <w:rsid w:val="00ED1977"/>
    <w:rsid w:val="00ED1A20"/>
    <w:rsid w:val="00ED1C79"/>
    <w:rsid w:val="00ED1F5C"/>
    <w:rsid w:val="00ED1F77"/>
    <w:rsid w:val="00ED2504"/>
    <w:rsid w:val="00ED2677"/>
    <w:rsid w:val="00ED2887"/>
    <w:rsid w:val="00ED29DC"/>
    <w:rsid w:val="00ED2DE1"/>
    <w:rsid w:val="00ED3103"/>
    <w:rsid w:val="00ED32E5"/>
    <w:rsid w:val="00ED33D9"/>
    <w:rsid w:val="00ED3633"/>
    <w:rsid w:val="00ED36CD"/>
    <w:rsid w:val="00ED3706"/>
    <w:rsid w:val="00ED37D3"/>
    <w:rsid w:val="00ED3890"/>
    <w:rsid w:val="00ED398C"/>
    <w:rsid w:val="00ED4081"/>
    <w:rsid w:val="00ED4556"/>
    <w:rsid w:val="00ED4993"/>
    <w:rsid w:val="00ED4E98"/>
    <w:rsid w:val="00ED4F9C"/>
    <w:rsid w:val="00ED4FD7"/>
    <w:rsid w:val="00ED4FF8"/>
    <w:rsid w:val="00ED52D0"/>
    <w:rsid w:val="00ED54A1"/>
    <w:rsid w:val="00ED55E3"/>
    <w:rsid w:val="00ED57B2"/>
    <w:rsid w:val="00ED5A10"/>
    <w:rsid w:val="00ED693E"/>
    <w:rsid w:val="00ED6A77"/>
    <w:rsid w:val="00ED6B54"/>
    <w:rsid w:val="00ED6EDE"/>
    <w:rsid w:val="00ED70BB"/>
    <w:rsid w:val="00ED71F5"/>
    <w:rsid w:val="00ED74A8"/>
    <w:rsid w:val="00ED753C"/>
    <w:rsid w:val="00ED7733"/>
    <w:rsid w:val="00ED7851"/>
    <w:rsid w:val="00EE0086"/>
    <w:rsid w:val="00EE0354"/>
    <w:rsid w:val="00EE0620"/>
    <w:rsid w:val="00EE0792"/>
    <w:rsid w:val="00EE08CF"/>
    <w:rsid w:val="00EE0B3B"/>
    <w:rsid w:val="00EE0CB8"/>
    <w:rsid w:val="00EE15D6"/>
    <w:rsid w:val="00EE1B2E"/>
    <w:rsid w:val="00EE24FE"/>
    <w:rsid w:val="00EE27EA"/>
    <w:rsid w:val="00EE285E"/>
    <w:rsid w:val="00EE2BEF"/>
    <w:rsid w:val="00EE2FA3"/>
    <w:rsid w:val="00EE338B"/>
    <w:rsid w:val="00EE3768"/>
    <w:rsid w:val="00EE3805"/>
    <w:rsid w:val="00EE3832"/>
    <w:rsid w:val="00EE384E"/>
    <w:rsid w:val="00EE3BCA"/>
    <w:rsid w:val="00EE3C9E"/>
    <w:rsid w:val="00EE450D"/>
    <w:rsid w:val="00EE4568"/>
    <w:rsid w:val="00EE494D"/>
    <w:rsid w:val="00EE520C"/>
    <w:rsid w:val="00EE58C8"/>
    <w:rsid w:val="00EE60CD"/>
    <w:rsid w:val="00EE61E3"/>
    <w:rsid w:val="00EE6209"/>
    <w:rsid w:val="00EE66ED"/>
    <w:rsid w:val="00EE7142"/>
    <w:rsid w:val="00EE7500"/>
    <w:rsid w:val="00EE7814"/>
    <w:rsid w:val="00EE7832"/>
    <w:rsid w:val="00EE78DF"/>
    <w:rsid w:val="00EE7926"/>
    <w:rsid w:val="00EE792D"/>
    <w:rsid w:val="00EE7A85"/>
    <w:rsid w:val="00EF00E7"/>
    <w:rsid w:val="00EF02A3"/>
    <w:rsid w:val="00EF0B39"/>
    <w:rsid w:val="00EF0DBE"/>
    <w:rsid w:val="00EF1785"/>
    <w:rsid w:val="00EF18DA"/>
    <w:rsid w:val="00EF1CF2"/>
    <w:rsid w:val="00EF1F37"/>
    <w:rsid w:val="00EF1F9B"/>
    <w:rsid w:val="00EF217D"/>
    <w:rsid w:val="00EF26D8"/>
    <w:rsid w:val="00EF2C5C"/>
    <w:rsid w:val="00EF2F4F"/>
    <w:rsid w:val="00EF35F8"/>
    <w:rsid w:val="00EF3816"/>
    <w:rsid w:val="00EF3940"/>
    <w:rsid w:val="00EF3E31"/>
    <w:rsid w:val="00EF4087"/>
    <w:rsid w:val="00EF4154"/>
    <w:rsid w:val="00EF4211"/>
    <w:rsid w:val="00EF42A6"/>
    <w:rsid w:val="00EF473A"/>
    <w:rsid w:val="00EF48AD"/>
    <w:rsid w:val="00EF4D5C"/>
    <w:rsid w:val="00EF556F"/>
    <w:rsid w:val="00EF584C"/>
    <w:rsid w:val="00EF5C8B"/>
    <w:rsid w:val="00EF5F18"/>
    <w:rsid w:val="00EF619F"/>
    <w:rsid w:val="00EF6357"/>
    <w:rsid w:val="00EF635F"/>
    <w:rsid w:val="00EF63EF"/>
    <w:rsid w:val="00EF66D3"/>
    <w:rsid w:val="00EF6BF3"/>
    <w:rsid w:val="00EF75F9"/>
    <w:rsid w:val="00EF7626"/>
    <w:rsid w:val="00EF77DD"/>
    <w:rsid w:val="00EF7908"/>
    <w:rsid w:val="00EF7970"/>
    <w:rsid w:val="00EF7C08"/>
    <w:rsid w:val="00F002EC"/>
    <w:rsid w:val="00F004C1"/>
    <w:rsid w:val="00F00649"/>
    <w:rsid w:val="00F00823"/>
    <w:rsid w:val="00F00B4E"/>
    <w:rsid w:val="00F00BFB"/>
    <w:rsid w:val="00F013B4"/>
    <w:rsid w:val="00F016E7"/>
    <w:rsid w:val="00F02350"/>
    <w:rsid w:val="00F02999"/>
    <w:rsid w:val="00F02B69"/>
    <w:rsid w:val="00F03087"/>
    <w:rsid w:val="00F030E7"/>
    <w:rsid w:val="00F03293"/>
    <w:rsid w:val="00F0375B"/>
    <w:rsid w:val="00F03B9F"/>
    <w:rsid w:val="00F03D7E"/>
    <w:rsid w:val="00F03E6E"/>
    <w:rsid w:val="00F047D3"/>
    <w:rsid w:val="00F049E3"/>
    <w:rsid w:val="00F04C51"/>
    <w:rsid w:val="00F05265"/>
    <w:rsid w:val="00F05634"/>
    <w:rsid w:val="00F05689"/>
    <w:rsid w:val="00F056D7"/>
    <w:rsid w:val="00F05E4E"/>
    <w:rsid w:val="00F05F02"/>
    <w:rsid w:val="00F06FB3"/>
    <w:rsid w:val="00F07039"/>
    <w:rsid w:val="00F070CD"/>
    <w:rsid w:val="00F074C8"/>
    <w:rsid w:val="00F07757"/>
    <w:rsid w:val="00F07A63"/>
    <w:rsid w:val="00F07F3E"/>
    <w:rsid w:val="00F10078"/>
    <w:rsid w:val="00F1090B"/>
    <w:rsid w:val="00F1111B"/>
    <w:rsid w:val="00F11141"/>
    <w:rsid w:val="00F11187"/>
    <w:rsid w:val="00F11363"/>
    <w:rsid w:val="00F1140B"/>
    <w:rsid w:val="00F11894"/>
    <w:rsid w:val="00F11E57"/>
    <w:rsid w:val="00F11F70"/>
    <w:rsid w:val="00F120DC"/>
    <w:rsid w:val="00F12313"/>
    <w:rsid w:val="00F12510"/>
    <w:rsid w:val="00F125A7"/>
    <w:rsid w:val="00F126B9"/>
    <w:rsid w:val="00F126F1"/>
    <w:rsid w:val="00F12BB8"/>
    <w:rsid w:val="00F12FAA"/>
    <w:rsid w:val="00F13048"/>
    <w:rsid w:val="00F133D9"/>
    <w:rsid w:val="00F13481"/>
    <w:rsid w:val="00F135FF"/>
    <w:rsid w:val="00F13AB8"/>
    <w:rsid w:val="00F149CF"/>
    <w:rsid w:val="00F14B1D"/>
    <w:rsid w:val="00F14F4D"/>
    <w:rsid w:val="00F1582E"/>
    <w:rsid w:val="00F15955"/>
    <w:rsid w:val="00F15C2F"/>
    <w:rsid w:val="00F161B4"/>
    <w:rsid w:val="00F16207"/>
    <w:rsid w:val="00F16278"/>
    <w:rsid w:val="00F168BC"/>
    <w:rsid w:val="00F1698D"/>
    <w:rsid w:val="00F16AD5"/>
    <w:rsid w:val="00F16F78"/>
    <w:rsid w:val="00F170EB"/>
    <w:rsid w:val="00F1718F"/>
    <w:rsid w:val="00F1726F"/>
    <w:rsid w:val="00F1728F"/>
    <w:rsid w:val="00F173E9"/>
    <w:rsid w:val="00F17656"/>
    <w:rsid w:val="00F179BE"/>
    <w:rsid w:val="00F2011A"/>
    <w:rsid w:val="00F20289"/>
    <w:rsid w:val="00F20359"/>
    <w:rsid w:val="00F20662"/>
    <w:rsid w:val="00F206C2"/>
    <w:rsid w:val="00F20BE4"/>
    <w:rsid w:val="00F20E27"/>
    <w:rsid w:val="00F20FFF"/>
    <w:rsid w:val="00F21237"/>
    <w:rsid w:val="00F217DE"/>
    <w:rsid w:val="00F219DA"/>
    <w:rsid w:val="00F21EE5"/>
    <w:rsid w:val="00F22190"/>
    <w:rsid w:val="00F22292"/>
    <w:rsid w:val="00F22359"/>
    <w:rsid w:val="00F22479"/>
    <w:rsid w:val="00F22F70"/>
    <w:rsid w:val="00F23156"/>
    <w:rsid w:val="00F23A62"/>
    <w:rsid w:val="00F23B6F"/>
    <w:rsid w:val="00F23CC6"/>
    <w:rsid w:val="00F23DFE"/>
    <w:rsid w:val="00F240C1"/>
    <w:rsid w:val="00F2417E"/>
    <w:rsid w:val="00F24B9B"/>
    <w:rsid w:val="00F250BB"/>
    <w:rsid w:val="00F25298"/>
    <w:rsid w:val="00F2568B"/>
    <w:rsid w:val="00F256E1"/>
    <w:rsid w:val="00F25830"/>
    <w:rsid w:val="00F25D15"/>
    <w:rsid w:val="00F26077"/>
    <w:rsid w:val="00F261A9"/>
    <w:rsid w:val="00F262BF"/>
    <w:rsid w:val="00F26535"/>
    <w:rsid w:val="00F265C0"/>
    <w:rsid w:val="00F26995"/>
    <w:rsid w:val="00F26A51"/>
    <w:rsid w:val="00F26C39"/>
    <w:rsid w:val="00F26F56"/>
    <w:rsid w:val="00F273F8"/>
    <w:rsid w:val="00F27438"/>
    <w:rsid w:val="00F27562"/>
    <w:rsid w:val="00F27892"/>
    <w:rsid w:val="00F278D4"/>
    <w:rsid w:val="00F27928"/>
    <w:rsid w:val="00F27BC4"/>
    <w:rsid w:val="00F30538"/>
    <w:rsid w:val="00F30859"/>
    <w:rsid w:val="00F30CC4"/>
    <w:rsid w:val="00F31045"/>
    <w:rsid w:val="00F314E6"/>
    <w:rsid w:val="00F32131"/>
    <w:rsid w:val="00F322B6"/>
    <w:rsid w:val="00F3246F"/>
    <w:rsid w:val="00F3267E"/>
    <w:rsid w:val="00F32913"/>
    <w:rsid w:val="00F33030"/>
    <w:rsid w:val="00F33D39"/>
    <w:rsid w:val="00F33D54"/>
    <w:rsid w:val="00F33F6A"/>
    <w:rsid w:val="00F3433B"/>
    <w:rsid w:val="00F3447E"/>
    <w:rsid w:val="00F34635"/>
    <w:rsid w:val="00F3473D"/>
    <w:rsid w:val="00F34A70"/>
    <w:rsid w:val="00F34C9F"/>
    <w:rsid w:val="00F34CE4"/>
    <w:rsid w:val="00F34DFF"/>
    <w:rsid w:val="00F36EEE"/>
    <w:rsid w:val="00F3735E"/>
    <w:rsid w:val="00F376DC"/>
    <w:rsid w:val="00F379D7"/>
    <w:rsid w:val="00F37A4B"/>
    <w:rsid w:val="00F37AE7"/>
    <w:rsid w:val="00F37B96"/>
    <w:rsid w:val="00F37C2F"/>
    <w:rsid w:val="00F37E4E"/>
    <w:rsid w:val="00F401C8"/>
    <w:rsid w:val="00F40505"/>
    <w:rsid w:val="00F40554"/>
    <w:rsid w:val="00F40808"/>
    <w:rsid w:val="00F409B3"/>
    <w:rsid w:val="00F40AD0"/>
    <w:rsid w:val="00F4140C"/>
    <w:rsid w:val="00F41474"/>
    <w:rsid w:val="00F41B22"/>
    <w:rsid w:val="00F4210E"/>
    <w:rsid w:val="00F425D2"/>
    <w:rsid w:val="00F42687"/>
    <w:rsid w:val="00F42935"/>
    <w:rsid w:val="00F42B5C"/>
    <w:rsid w:val="00F42D56"/>
    <w:rsid w:val="00F42F1E"/>
    <w:rsid w:val="00F4304A"/>
    <w:rsid w:val="00F436FF"/>
    <w:rsid w:val="00F43B0B"/>
    <w:rsid w:val="00F43CCC"/>
    <w:rsid w:val="00F43E01"/>
    <w:rsid w:val="00F4410F"/>
    <w:rsid w:val="00F4420F"/>
    <w:rsid w:val="00F4452C"/>
    <w:rsid w:val="00F44541"/>
    <w:rsid w:val="00F445A3"/>
    <w:rsid w:val="00F4460C"/>
    <w:rsid w:val="00F449A4"/>
    <w:rsid w:val="00F44AD0"/>
    <w:rsid w:val="00F45064"/>
    <w:rsid w:val="00F456C1"/>
    <w:rsid w:val="00F459D9"/>
    <w:rsid w:val="00F45A21"/>
    <w:rsid w:val="00F45B90"/>
    <w:rsid w:val="00F45F97"/>
    <w:rsid w:val="00F46211"/>
    <w:rsid w:val="00F46A37"/>
    <w:rsid w:val="00F46C64"/>
    <w:rsid w:val="00F46D70"/>
    <w:rsid w:val="00F46E35"/>
    <w:rsid w:val="00F46EA5"/>
    <w:rsid w:val="00F474A7"/>
    <w:rsid w:val="00F4760D"/>
    <w:rsid w:val="00F47799"/>
    <w:rsid w:val="00F478F4"/>
    <w:rsid w:val="00F4798E"/>
    <w:rsid w:val="00F47D6E"/>
    <w:rsid w:val="00F503CA"/>
    <w:rsid w:val="00F50468"/>
    <w:rsid w:val="00F506FD"/>
    <w:rsid w:val="00F50B32"/>
    <w:rsid w:val="00F50D19"/>
    <w:rsid w:val="00F510B0"/>
    <w:rsid w:val="00F512C4"/>
    <w:rsid w:val="00F51436"/>
    <w:rsid w:val="00F5165A"/>
    <w:rsid w:val="00F516CC"/>
    <w:rsid w:val="00F51884"/>
    <w:rsid w:val="00F51BBF"/>
    <w:rsid w:val="00F51BCF"/>
    <w:rsid w:val="00F5211E"/>
    <w:rsid w:val="00F522CD"/>
    <w:rsid w:val="00F52497"/>
    <w:rsid w:val="00F525CB"/>
    <w:rsid w:val="00F52B5F"/>
    <w:rsid w:val="00F52BD8"/>
    <w:rsid w:val="00F53190"/>
    <w:rsid w:val="00F53199"/>
    <w:rsid w:val="00F537D6"/>
    <w:rsid w:val="00F53914"/>
    <w:rsid w:val="00F53AC5"/>
    <w:rsid w:val="00F53C91"/>
    <w:rsid w:val="00F53CCF"/>
    <w:rsid w:val="00F540C9"/>
    <w:rsid w:val="00F540E5"/>
    <w:rsid w:val="00F549DF"/>
    <w:rsid w:val="00F553C8"/>
    <w:rsid w:val="00F55B49"/>
    <w:rsid w:val="00F56700"/>
    <w:rsid w:val="00F5698D"/>
    <w:rsid w:val="00F569BC"/>
    <w:rsid w:val="00F56CE8"/>
    <w:rsid w:val="00F56E9F"/>
    <w:rsid w:val="00F570B7"/>
    <w:rsid w:val="00F574EA"/>
    <w:rsid w:val="00F5762E"/>
    <w:rsid w:val="00F57812"/>
    <w:rsid w:val="00F5790F"/>
    <w:rsid w:val="00F57F9F"/>
    <w:rsid w:val="00F602BA"/>
    <w:rsid w:val="00F60329"/>
    <w:rsid w:val="00F60613"/>
    <w:rsid w:val="00F6085D"/>
    <w:rsid w:val="00F60A16"/>
    <w:rsid w:val="00F60B1E"/>
    <w:rsid w:val="00F6101E"/>
    <w:rsid w:val="00F614DA"/>
    <w:rsid w:val="00F6159F"/>
    <w:rsid w:val="00F6161D"/>
    <w:rsid w:val="00F6183B"/>
    <w:rsid w:val="00F6189D"/>
    <w:rsid w:val="00F618CA"/>
    <w:rsid w:val="00F61CF1"/>
    <w:rsid w:val="00F6205B"/>
    <w:rsid w:val="00F621D6"/>
    <w:rsid w:val="00F629F5"/>
    <w:rsid w:val="00F62BED"/>
    <w:rsid w:val="00F62C39"/>
    <w:rsid w:val="00F62CE6"/>
    <w:rsid w:val="00F63AD4"/>
    <w:rsid w:val="00F63FB0"/>
    <w:rsid w:val="00F640F4"/>
    <w:rsid w:val="00F64121"/>
    <w:rsid w:val="00F64294"/>
    <w:rsid w:val="00F642B5"/>
    <w:rsid w:val="00F64A62"/>
    <w:rsid w:val="00F6539C"/>
    <w:rsid w:val="00F65464"/>
    <w:rsid w:val="00F655E1"/>
    <w:rsid w:val="00F657BA"/>
    <w:rsid w:val="00F65A21"/>
    <w:rsid w:val="00F65BDD"/>
    <w:rsid w:val="00F66069"/>
    <w:rsid w:val="00F66816"/>
    <w:rsid w:val="00F66D50"/>
    <w:rsid w:val="00F67022"/>
    <w:rsid w:val="00F67361"/>
    <w:rsid w:val="00F67A27"/>
    <w:rsid w:val="00F67C8D"/>
    <w:rsid w:val="00F67E2A"/>
    <w:rsid w:val="00F7037E"/>
    <w:rsid w:val="00F70499"/>
    <w:rsid w:val="00F709D6"/>
    <w:rsid w:val="00F709D8"/>
    <w:rsid w:val="00F70B56"/>
    <w:rsid w:val="00F70F56"/>
    <w:rsid w:val="00F70FA4"/>
    <w:rsid w:val="00F71523"/>
    <w:rsid w:val="00F7159A"/>
    <w:rsid w:val="00F715EE"/>
    <w:rsid w:val="00F71856"/>
    <w:rsid w:val="00F71964"/>
    <w:rsid w:val="00F71B8C"/>
    <w:rsid w:val="00F71CF2"/>
    <w:rsid w:val="00F71F8F"/>
    <w:rsid w:val="00F72124"/>
    <w:rsid w:val="00F7221D"/>
    <w:rsid w:val="00F72AC3"/>
    <w:rsid w:val="00F72ACA"/>
    <w:rsid w:val="00F730AE"/>
    <w:rsid w:val="00F734A7"/>
    <w:rsid w:val="00F73614"/>
    <w:rsid w:val="00F738F8"/>
    <w:rsid w:val="00F73D62"/>
    <w:rsid w:val="00F74139"/>
    <w:rsid w:val="00F7484A"/>
    <w:rsid w:val="00F74C01"/>
    <w:rsid w:val="00F74C7B"/>
    <w:rsid w:val="00F75160"/>
    <w:rsid w:val="00F75166"/>
    <w:rsid w:val="00F75336"/>
    <w:rsid w:val="00F760CB"/>
    <w:rsid w:val="00F7639A"/>
    <w:rsid w:val="00F766D3"/>
    <w:rsid w:val="00F76784"/>
    <w:rsid w:val="00F76992"/>
    <w:rsid w:val="00F76E70"/>
    <w:rsid w:val="00F76F02"/>
    <w:rsid w:val="00F77315"/>
    <w:rsid w:val="00F776B8"/>
    <w:rsid w:val="00F777D2"/>
    <w:rsid w:val="00F77882"/>
    <w:rsid w:val="00F77A04"/>
    <w:rsid w:val="00F77EB9"/>
    <w:rsid w:val="00F80003"/>
    <w:rsid w:val="00F80033"/>
    <w:rsid w:val="00F8048B"/>
    <w:rsid w:val="00F80C17"/>
    <w:rsid w:val="00F81046"/>
    <w:rsid w:val="00F813A2"/>
    <w:rsid w:val="00F8145F"/>
    <w:rsid w:val="00F8149A"/>
    <w:rsid w:val="00F818E3"/>
    <w:rsid w:val="00F81977"/>
    <w:rsid w:val="00F81BA5"/>
    <w:rsid w:val="00F81C82"/>
    <w:rsid w:val="00F821B3"/>
    <w:rsid w:val="00F8259F"/>
    <w:rsid w:val="00F826AA"/>
    <w:rsid w:val="00F82D90"/>
    <w:rsid w:val="00F82F8E"/>
    <w:rsid w:val="00F830F7"/>
    <w:rsid w:val="00F83293"/>
    <w:rsid w:val="00F8332F"/>
    <w:rsid w:val="00F835FE"/>
    <w:rsid w:val="00F839A4"/>
    <w:rsid w:val="00F83A01"/>
    <w:rsid w:val="00F83AC1"/>
    <w:rsid w:val="00F83E9D"/>
    <w:rsid w:val="00F842BF"/>
    <w:rsid w:val="00F847F3"/>
    <w:rsid w:val="00F849A1"/>
    <w:rsid w:val="00F84A8F"/>
    <w:rsid w:val="00F84AB8"/>
    <w:rsid w:val="00F84AFC"/>
    <w:rsid w:val="00F84CCF"/>
    <w:rsid w:val="00F84EFA"/>
    <w:rsid w:val="00F8500B"/>
    <w:rsid w:val="00F851A7"/>
    <w:rsid w:val="00F853D4"/>
    <w:rsid w:val="00F8545E"/>
    <w:rsid w:val="00F85610"/>
    <w:rsid w:val="00F85BAD"/>
    <w:rsid w:val="00F85BF3"/>
    <w:rsid w:val="00F85F78"/>
    <w:rsid w:val="00F85F90"/>
    <w:rsid w:val="00F869A4"/>
    <w:rsid w:val="00F86A31"/>
    <w:rsid w:val="00F8714D"/>
    <w:rsid w:val="00F8729D"/>
    <w:rsid w:val="00F87323"/>
    <w:rsid w:val="00F878D1"/>
    <w:rsid w:val="00F87B71"/>
    <w:rsid w:val="00F902A1"/>
    <w:rsid w:val="00F9084B"/>
    <w:rsid w:val="00F90937"/>
    <w:rsid w:val="00F90FE7"/>
    <w:rsid w:val="00F9113D"/>
    <w:rsid w:val="00F91430"/>
    <w:rsid w:val="00F915AE"/>
    <w:rsid w:val="00F916C0"/>
    <w:rsid w:val="00F91A84"/>
    <w:rsid w:val="00F91BCC"/>
    <w:rsid w:val="00F91C27"/>
    <w:rsid w:val="00F9207D"/>
    <w:rsid w:val="00F9209C"/>
    <w:rsid w:val="00F92206"/>
    <w:rsid w:val="00F92561"/>
    <w:rsid w:val="00F92BFC"/>
    <w:rsid w:val="00F92DAC"/>
    <w:rsid w:val="00F92FC4"/>
    <w:rsid w:val="00F933A0"/>
    <w:rsid w:val="00F93406"/>
    <w:rsid w:val="00F934FD"/>
    <w:rsid w:val="00F9386E"/>
    <w:rsid w:val="00F93EE8"/>
    <w:rsid w:val="00F94419"/>
    <w:rsid w:val="00F949D3"/>
    <w:rsid w:val="00F94B88"/>
    <w:rsid w:val="00F94EA5"/>
    <w:rsid w:val="00F955A4"/>
    <w:rsid w:val="00F95727"/>
    <w:rsid w:val="00F95AE0"/>
    <w:rsid w:val="00F95CEE"/>
    <w:rsid w:val="00F96281"/>
    <w:rsid w:val="00F96A70"/>
    <w:rsid w:val="00F96D25"/>
    <w:rsid w:val="00F96FE9"/>
    <w:rsid w:val="00F97100"/>
    <w:rsid w:val="00F975D1"/>
    <w:rsid w:val="00F977A5"/>
    <w:rsid w:val="00F979F4"/>
    <w:rsid w:val="00F97A52"/>
    <w:rsid w:val="00F97B10"/>
    <w:rsid w:val="00F97C06"/>
    <w:rsid w:val="00F97C7A"/>
    <w:rsid w:val="00F97D95"/>
    <w:rsid w:val="00F97DF3"/>
    <w:rsid w:val="00FA00CA"/>
    <w:rsid w:val="00FA031E"/>
    <w:rsid w:val="00FA0437"/>
    <w:rsid w:val="00FA0466"/>
    <w:rsid w:val="00FA08E3"/>
    <w:rsid w:val="00FA08F5"/>
    <w:rsid w:val="00FA090A"/>
    <w:rsid w:val="00FA0B67"/>
    <w:rsid w:val="00FA0C26"/>
    <w:rsid w:val="00FA0CE4"/>
    <w:rsid w:val="00FA0D31"/>
    <w:rsid w:val="00FA1147"/>
    <w:rsid w:val="00FA11C1"/>
    <w:rsid w:val="00FA1639"/>
    <w:rsid w:val="00FA198A"/>
    <w:rsid w:val="00FA1DFB"/>
    <w:rsid w:val="00FA20CE"/>
    <w:rsid w:val="00FA2534"/>
    <w:rsid w:val="00FA2770"/>
    <w:rsid w:val="00FA2952"/>
    <w:rsid w:val="00FA32A8"/>
    <w:rsid w:val="00FA336F"/>
    <w:rsid w:val="00FA3B76"/>
    <w:rsid w:val="00FA3E23"/>
    <w:rsid w:val="00FA3EB4"/>
    <w:rsid w:val="00FA3F3B"/>
    <w:rsid w:val="00FA3FCF"/>
    <w:rsid w:val="00FA4002"/>
    <w:rsid w:val="00FA425F"/>
    <w:rsid w:val="00FA430F"/>
    <w:rsid w:val="00FA4D74"/>
    <w:rsid w:val="00FA4DCF"/>
    <w:rsid w:val="00FA549C"/>
    <w:rsid w:val="00FA54CA"/>
    <w:rsid w:val="00FA567E"/>
    <w:rsid w:val="00FA5BEF"/>
    <w:rsid w:val="00FA5CCD"/>
    <w:rsid w:val="00FA5D54"/>
    <w:rsid w:val="00FA6245"/>
    <w:rsid w:val="00FA62C1"/>
    <w:rsid w:val="00FA65B4"/>
    <w:rsid w:val="00FA6B8D"/>
    <w:rsid w:val="00FA7012"/>
    <w:rsid w:val="00FA7154"/>
    <w:rsid w:val="00FA7340"/>
    <w:rsid w:val="00FA74C1"/>
    <w:rsid w:val="00FA77C8"/>
    <w:rsid w:val="00FA795C"/>
    <w:rsid w:val="00FA79C0"/>
    <w:rsid w:val="00FB00D9"/>
    <w:rsid w:val="00FB0425"/>
    <w:rsid w:val="00FB07CC"/>
    <w:rsid w:val="00FB0B14"/>
    <w:rsid w:val="00FB0D5A"/>
    <w:rsid w:val="00FB0DAF"/>
    <w:rsid w:val="00FB157D"/>
    <w:rsid w:val="00FB1765"/>
    <w:rsid w:val="00FB198D"/>
    <w:rsid w:val="00FB19BC"/>
    <w:rsid w:val="00FB1A43"/>
    <w:rsid w:val="00FB1E42"/>
    <w:rsid w:val="00FB1E49"/>
    <w:rsid w:val="00FB207F"/>
    <w:rsid w:val="00FB20F0"/>
    <w:rsid w:val="00FB21A2"/>
    <w:rsid w:val="00FB22EC"/>
    <w:rsid w:val="00FB2460"/>
    <w:rsid w:val="00FB2AA2"/>
    <w:rsid w:val="00FB2ACD"/>
    <w:rsid w:val="00FB2C62"/>
    <w:rsid w:val="00FB3318"/>
    <w:rsid w:val="00FB3328"/>
    <w:rsid w:val="00FB3483"/>
    <w:rsid w:val="00FB3A1D"/>
    <w:rsid w:val="00FB3AA3"/>
    <w:rsid w:val="00FB3BF5"/>
    <w:rsid w:val="00FB3C39"/>
    <w:rsid w:val="00FB3D5E"/>
    <w:rsid w:val="00FB3D85"/>
    <w:rsid w:val="00FB3F1B"/>
    <w:rsid w:val="00FB49F3"/>
    <w:rsid w:val="00FB4B8C"/>
    <w:rsid w:val="00FB4D20"/>
    <w:rsid w:val="00FB4F18"/>
    <w:rsid w:val="00FB4F97"/>
    <w:rsid w:val="00FB519C"/>
    <w:rsid w:val="00FB5242"/>
    <w:rsid w:val="00FB59AD"/>
    <w:rsid w:val="00FB5CE0"/>
    <w:rsid w:val="00FB60C0"/>
    <w:rsid w:val="00FB6315"/>
    <w:rsid w:val="00FB66B3"/>
    <w:rsid w:val="00FB6909"/>
    <w:rsid w:val="00FB6FB0"/>
    <w:rsid w:val="00FB70DD"/>
    <w:rsid w:val="00FB70F9"/>
    <w:rsid w:val="00FB7C61"/>
    <w:rsid w:val="00FC0766"/>
    <w:rsid w:val="00FC09C7"/>
    <w:rsid w:val="00FC1ACB"/>
    <w:rsid w:val="00FC1BD8"/>
    <w:rsid w:val="00FC2192"/>
    <w:rsid w:val="00FC23ED"/>
    <w:rsid w:val="00FC2579"/>
    <w:rsid w:val="00FC27B3"/>
    <w:rsid w:val="00FC2899"/>
    <w:rsid w:val="00FC2A77"/>
    <w:rsid w:val="00FC2DEB"/>
    <w:rsid w:val="00FC2E06"/>
    <w:rsid w:val="00FC32AC"/>
    <w:rsid w:val="00FC32D9"/>
    <w:rsid w:val="00FC349E"/>
    <w:rsid w:val="00FC37FA"/>
    <w:rsid w:val="00FC414B"/>
    <w:rsid w:val="00FC45F6"/>
    <w:rsid w:val="00FC46A3"/>
    <w:rsid w:val="00FC4FFC"/>
    <w:rsid w:val="00FC5271"/>
    <w:rsid w:val="00FC5273"/>
    <w:rsid w:val="00FC528C"/>
    <w:rsid w:val="00FC5328"/>
    <w:rsid w:val="00FC5763"/>
    <w:rsid w:val="00FC5813"/>
    <w:rsid w:val="00FC5914"/>
    <w:rsid w:val="00FC5B52"/>
    <w:rsid w:val="00FC5B89"/>
    <w:rsid w:val="00FC5D07"/>
    <w:rsid w:val="00FC5EE5"/>
    <w:rsid w:val="00FC65E9"/>
    <w:rsid w:val="00FC65ED"/>
    <w:rsid w:val="00FC67C1"/>
    <w:rsid w:val="00FC6BD5"/>
    <w:rsid w:val="00FC6D50"/>
    <w:rsid w:val="00FC6DD8"/>
    <w:rsid w:val="00FC70CB"/>
    <w:rsid w:val="00FC74F9"/>
    <w:rsid w:val="00FC7544"/>
    <w:rsid w:val="00FC7790"/>
    <w:rsid w:val="00FC786B"/>
    <w:rsid w:val="00FC7A43"/>
    <w:rsid w:val="00FC7E1B"/>
    <w:rsid w:val="00FD0021"/>
    <w:rsid w:val="00FD010A"/>
    <w:rsid w:val="00FD0E0E"/>
    <w:rsid w:val="00FD105D"/>
    <w:rsid w:val="00FD1202"/>
    <w:rsid w:val="00FD1372"/>
    <w:rsid w:val="00FD1C8F"/>
    <w:rsid w:val="00FD1EB4"/>
    <w:rsid w:val="00FD20D8"/>
    <w:rsid w:val="00FD2102"/>
    <w:rsid w:val="00FD21BD"/>
    <w:rsid w:val="00FD2203"/>
    <w:rsid w:val="00FD285C"/>
    <w:rsid w:val="00FD2978"/>
    <w:rsid w:val="00FD3071"/>
    <w:rsid w:val="00FD30C6"/>
    <w:rsid w:val="00FD3238"/>
    <w:rsid w:val="00FD3496"/>
    <w:rsid w:val="00FD3564"/>
    <w:rsid w:val="00FD368C"/>
    <w:rsid w:val="00FD380D"/>
    <w:rsid w:val="00FD3D6E"/>
    <w:rsid w:val="00FD41E5"/>
    <w:rsid w:val="00FD495A"/>
    <w:rsid w:val="00FD4F4A"/>
    <w:rsid w:val="00FD5075"/>
    <w:rsid w:val="00FD5084"/>
    <w:rsid w:val="00FD515D"/>
    <w:rsid w:val="00FD56F0"/>
    <w:rsid w:val="00FD57F2"/>
    <w:rsid w:val="00FD5A07"/>
    <w:rsid w:val="00FD61CF"/>
    <w:rsid w:val="00FD6205"/>
    <w:rsid w:val="00FD630D"/>
    <w:rsid w:val="00FD67FE"/>
    <w:rsid w:val="00FD6EE0"/>
    <w:rsid w:val="00FD7204"/>
    <w:rsid w:val="00FD7208"/>
    <w:rsid w:val="00FD7209"/>
    <w:rsid w:val="00FD7539"/>
    <w:rsid w:val="00FD7794"/>
    <w:rsid w:val="00FD7CA7"/>
    <w:rsid w:val="00FD7EDB"/>
    <w:rsid w:val="00FE01CB"/>
    <w:rsid w:val="00FE03DF"/>
    <w:rsid w:val="00FE0425"/>
    <w:rsid w:val="00FE0518"/>
    <w:rsid w:val="00FE06D9"/>
    <w:rsid w:val="00FE09AB"/>
    <w:rsid w:val="00FE192A"/>
    <w:rsid w:val="00FE1AE2"/>
    <w:rsid w:val="00FE1D44"/>
    <w:rsid w:val="00FE1D68"/>
    <w:rsid w:val="00FE1E19"/>
    <w:rsid w:val="00FE1E2A"/>
    <w:rsid w:val="00FE1F56"/>
    <w:rsid w:val="00FE2140"/>
    <w:rsid w:val="00FE23CC"/>
    <w:rsid w:val="00FE25CE"/>
    <w:rsid w:val="00FE26CE"/>
    <w:rsid w:val="00FE2723"/>
    <w:rsid w:val="00FE2757"/>
    <w:rsid w:val="00FE2846"/>
    <w:rsid w:val="00FE2BB2"/>
    <w:rsid w:val="00FE2CA2"/>
    <w:rsid w:val="00FE301C"/>
    <w:rsid w:val="00FE37C1"/>
    <w:rsid w:val="00FE395F"/>
    <w:rsid w:val="00FE3C8B"/>
    <w:rsid w:val="00FE3D68"/>
    <w:rsid w:val="00FE3EBA"/>
    <w:rsid w:val="00FE3F9C"/>
    <w:rsid w:val="00FE4130"/>
    <w:rsid w:val="00FE41CB"/>
    <w:rsid w:val="00FE4427"/>
    <w:rsid w:val="00FE52C3"/>
    <w:rsid w:val="00FE5438"/>
    <w:rsid w:val="00FE5667"/>
    <w:rsid w:val="00FE5A83"/>
    <w:rsid w:val="00FE6096"/>
    <w:rsid w:val="00FE64CF"/>
    <w:rsid w:val="00FE6871"/>
    <w:rsid w:val="00FE690D"/>
    <w:rsid w:val="00FE6CB5"/>
    <w:rsid w:val="00FE6D4C"/>
    <w:rsid w:val="00FE6E0D"/>
    <w:rsid w:val="00FE70AC"/>
    <w:rsid w:val="00FE73BA"/>
    <w:rsid w:val="00FE7AD4"/>
    <w:rsid w:val="00FE7B48"/>
    <w:rsid w:val="00FE7F23"/>
    <w:rsid w:val="00FF0278"/>
    <w:rsid w:val="00FF0A8C"/>
    <w:rsid w:val="00FF0BCC"/>
    <w:rsid w:val="00FF0D4E"/>
    <w:rsid w:val="00FF0FA5"/>
    <w:rsid w:val="00FF10AE"/>
    <w:rsid w:val="00FF1168"/>
    <w:rsid w:val="00FF15BA"/>
    <w:rsid w:val="00FF1613"/>
    <w:rsid w:val="00FF18E5"/>
    <w:rsid w:val="00FF1CB0"/>
    <w:rsid w:val="00FF2397"/>
    <w:rsid w:val="00FF2D14"/>
    <w:rsid w:val="00FF2D22"/>
    <w:rsid w:val="00FF2EF7"/>
    <w:rsid w:val="00FF2F5B"/>
    <w:rsid w:val="00FF342A"/>
    <w:rsid w:val="00FF3761"/>
    <w:rsid w:val="00FF381D"/>
    <w:rsid w:val="00FF3E0B"/>
    <w:rsid w:val="00FF4263"/>
    <w:rsid w:val="00FF42FE"/>
    <w:rsid w:val="00FF4302"/>
    <w:rsid w:val="00FF454D"/>
    <w:rsid w:val="00FF46E1"/>
    <w:rsid w:val="00FF4B9A"/>
    <w:rsid w:val="00FF4C63"/>
    <w:rsid w:val="00FF5226"/>
    <w:rsid w:val="00FF53AB"/>
    <w:rsid w:val="00FF53BA"/>
    <w:rsid w:val="00FF5478"/>
    <w:rsid w:val="00FF5683"/>
    <w:rsid w:val="00FF5A6D"/>
    <w:rsid w:val="00FF6109"/>
    <w:rsid w:val="00FF69CD"/>
    <w:rsid w:val="00FF6ACA"/>
    <w:rsid w:val="00FF6D7F"/>
    <w:rsid w:val="00FF6F26"/>
    <w:rsid w:val="00FF6F9E"/>
    <w:rsid w:val="00FF6FF7"/>
    <w:rsid w:val="00FF7A9F"/>
    <w:rsid w:val="00FF7B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0110"/>
  <w15:chartTrackingRefBased/>
  <w15:docId w15:val="{3A3B6C29-B797-9742-866C-62A1E8AA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Normal"/>
    <w:qFormat/>
    <w:rsid w:val="00074244"/>
    <w:pPr>
      <w:spacing w:after="200" w:line="276" w:lineRule="auto"/>
    </w:pPr>
    <w:rPr>
      <w:rFonts w:cs="Arial"/>
      <w:bCs/>
      <w:lang w:val="en-US"/>
    </w:rPr>
  </w:style>
  <w:style w:type="paragraph" w:styleId="Heading1">
    <w:name w:val="heading 1"/>
    <w:basedOn w:val="BasicParagraph"/>
    <w:next w:val="Normal"/>
    <w:link w:val="Heading1Char"/>
    <w:uiPriority w:val="9"/>
    <w:qFormat/>
    <w:rsid w:val="00074244"/>
    <w:pPr>
      <w:tabs>
        <w:tab w:val="right" w:leader="dot" w:pos="8620"/>
      </w:tabs>
      <w:spacing w:line="360" w:lineRule="auto"/>
      <w:outlineLvl w:val="0"/>
    </w:pPr>
    <w:rPr>
      <w:rFonts w:ascii="Arial" w:hAnsi="Arial" w:cs="Arial"/>
      <w:b/>
      <w:color w:val="00B3F0"/>
      <w:sz w:val="44"/>
      <w:szCs w:val="44"/>
    </w:rPr>
  </w:style>
  <w:style w:type="paragraph" w:styleId="Heading2">
    <w:name w:val="heading 2"/>
    <w:basedOn w:val="chapter-namechapterheadings"/>
    <w:next w:val="Normal"/>
    <w:link w:val="Heading2Char"/>
    <w:uiPriority w:val="9"/>
    <w:unhideWhenUsed/>
    <w:qFormat/>
    <w:rsid w:val="00074244"/>
    <w:pPr>
      <w:spacing w:after="360"/>
      <w:outlineLvl w:val="1"/>
    </w:pPr>
    <w:rPr>
      <w:rFonts w:ascii="Arial" w:hAnsi="Arial" w:cs="Arial"/>
      <w:color w:val="1A4798"/>
    </w:rPr>
  </w:style>
  <w:style w:type="paragraph" w:styleId="Heading3">
    <w:name w:val="heading 3"/>
    <w:basedOn w:val="chapter-namechapterheadings"/>
    <w:next w:val="Normal"/>
    <w:link w:val="Heading3Char"/>
    <w:uiPriority w:val="9"/>
    <w:unhideWhenUsed/>
    <w:qFormat/>
    <w:rsid w:val="00C13735"/>
    <w:pPr>
      <w:spacing w:before="360" w:after="360"/>
      <w:outlineLvl w:val="2"/>
    </w:pPr>
    <w:rPr>
      <w:rFonts w:ascii="Arial" w:hAnsi="Arial" w:cs="Arial"/>
      <w:color w:val="1A4798"/>
      <w:sz w:val="24"/>
      <w:szCs w:val="24"/>
    </w:rPr>
  </w:style>
  <w:style w:type="paragraph" w:styleId="Heading4">
    <w:name w:val="heading 4"/>
    <w:aliases w:val="Text Box Title"/>
    <w:basedOn w:val="Heading6"/>
    <w:next w:val="Normal"/>
    <w:link w:val="Heading4Char"/>
    <w:uiPriority w:val="9"/>
    <w:unhideWhenUsed/>
    <w:qFormat/>
    <w:rsid w:val="00C13735"/>
    <w:pPr>
      <w:spacing w:before="240"/>
      <w:outlineLvl w:val="3"/>
    </w:pPr>
    <w:rPr>
      <w:color w:val="4472C4" w:themeColor="accent1"/>
    </w:rPr>
  </w:style>
  <w:style w:type="paragraph" w:styleId="Heading5">
    <w:name w:val="heading 5"/>
    <w:basedOn w:val="Normal"/>
    <w:next w:val="Normal"/>
    <w:link w:val="Heading5Char"/>
    <w:uiPriority w:val="9"/>
    <w:unhideWhenUsed/>
    <w:qFormat/>
    <w:rsid w:val="00C7338F"/>
    <w:pPr>
      <w:keepNext/>
      <w:keepLines/>
      <w:spacing w:before="40" w:after="0"/>
      <w:outlineLvl w:val="4"/>
    </w:pPr>
    <w:rPr>
      <w:rFonts w:eastAsiaTheme="majorEastAsia"/>
      <w:b/>
      <w:bCs w:val="0"/>
      <w:color w:val="2F5496" w:themeColor="accent1" w:themeShade="BF"/>
    </w:rPr>
  </w:style>
  <w:style w:type="paragraph" w:styleId="Heading6">
    <w:name w:val="heading 6"/>
    <w:basedOn w:val="Normal"/>
    <w:next w:val="Normal"/>
    <w:link w:val="Heading6Char"/>
    <w:uiPriority w:val="9"/>
    <w:unhideWhenUsed/>
    <w:qFormat/>
    <w:rsid w:val="00842E42"/>
    <w:pPr>
      <w:keepNext/>
      <w:keepLines/>
      <w:spacing w:before="40" w:after="0"/>
      <w:outlineLvl w:val="5"/>
    </w:pPr>
    <w:rPr>
      <w:rFonts w:eastAsiaTheme="majorEastAsia"/>
      <w:b/>
      <w:bCs w:val="0"/>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link w:val="BasicParagraphChar"/>
    <w:uiPriority w:val="99"/>
    <w:rsid w:val="00074244"/>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BasicParagraphChar">
    <w:name w:val="[Basic Paragraph] Char"/>
    <w:basedOn w:val="DefaultParagraphFont"/>
    <w:link w:val="BasicParagraph"/>
    <w:uiPriority w:val="99"/>
    <w:rsid w:val="00074244"/>
    <w:rPr>
      <w:rFonts w:ascii="Minion Pro" w:hAnsi="Minion Pro" w:cs="Minion Pro"/>
      <w:bCs/>
      <w:color w:val="000000"/>
      <w:sz w:val="24"/>
      <w:szCs w:val="24"/>
      <w:lang w:val="en-US"/>
    </w:rPr>
  </w:style>
  <w:style w:type="paragraph" w:customStyle="1" w:styleId="chapter-namechapterheadings">
    <w:name w:val="chapter- name (chapter headings)"/>
    <w:basedOn w:val="Normal"/>
    <w:link w:val="chapter-namechapterheadingsChar"/>
    <w:uiPriority w:val="99"/>
    <w:rsid w:val="00074244"/>
    <w:pPr>
      <w:suppressAutoHyphens/>
      <w:autoSpaceDE w:val="0"/>
      <w:autoSpaceDN w:val="0"/>
      <w:adjustRightInd w:val="0"/>
      <w:spacing w:after="560" w:line="280" w:lineRule="atLeast"/>
      <w:textAlignment w:val="center"/>
    </w:pPr>
    <w:rPr>
      <w:rFonts w:ascii="Helvetica LT Std" w:hAnsi="Helvetica LT Std" w:cs="Helvetica LT Std"/>
      <w:b/>
      <w:bCs w:val="0"/>
      <w:color w:val="0072B5"/>
      <w:sz w:val="36"/>
      <w:szCs w:val="36"/>
      <w:lang w:val="en-CA"/>
    </w:rPr>
  </w:style>
  <w:style w:type="paragraph" w:styleId="BalloonText">
    <w:name w:val="Balloon Text"/>
    <w:basedOn w:val="Normal"/>
    <w:link w:val="BalloonTextChar"/>
    <w:uiPriority w:val="99"/>
    <w:semiHidden/>
    <w:unhideWhenUsed/>
    <w:rsid w:val="00074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244"/>
    <w:rPr>
      <w:rFonts w:ascii="Tahoma" w:hAnsi="Tahoma" w:cs="Tahoma"/>
      <w:bCs/>
      <w:sz w:val="16"/>
      <w:szCs w:val="16"/>
      <w:lang w:val="en-US"/>
    </w:rPr>
  </w:style>
  <w:style w:type="character" w:customStyle="1" w:styleId="chapter-namechapterheadingsChar">
    <w:name w:val="chapter- name (chapter headings) Char"/>
    <w:basedOn w:val="DefaultParagraphFont"/>
    <w:link w:val="chapter-namechapterheadings"/>
    <w:uiPriority w:val="99"/>
    <w:rsid w:val="00074244"/>
    <w:rPr>
      <w:rFonts w:ascii="Helvetica LT Std" w:hAnsi="Helvetica LT Std" w:cs="Helvetica LT Std"/>
      <w:b/>
      <w:color w:val="0072B5"/>
      <w:sz w:val="36"/>
      <w:szCs w:val="36"/>
    </w:rPr>
  </w:style>
  <w:style w:type="paragraph" w:customStyle="1" w:styleId="Chart">
    <w:name w:val="Chart #"/>
    <w:basedOn w:val="chapter-namechapterheadings"/>
    <w:link w:val="ChartChar"/>
    <w:qFormat/>
    <w:rsid w:val="00BE008D"/>
    <w:pPr>
      <w:spacing w:after="0"/>
    </w:pPr>
    <w:rPr>
      <w:rFonts w:ascii="Arial" w:hAnsi="Arial" w:cs="Arial"/>
      <w:bCs/>
      <w:color w:val="5B9BD5" w:themeColor="accent5"/>
      <w:sz w:val="22"/>
    </w:rPr>
  </w:style>
  <w:style w:type="character" w:customStyle="1" w:styleId="ChartChar">
    <w:name w:val="Chart # Char"/>
    <w:basedOn w:val="chapter-namechapterheadingsChar"/>
    <w:link w:val="Chart"/>
    <w:rsid w:val="00BE008D"/>
    <w:rPr>
      <w:rFonts w:ascii="Helvetica LT Std" w:hAnsi="Helvetica LT Std" w:cs="Arial"/>
      <w:b/>
      <w:bCs/>
      <w:color w:val="5B9BD5" w:themeColor="accent5"/>
      <w:sz w:val="36"/>
      <w:szCs w:val="36"/>
    </w:rPr>
  </w:style>
  <w:style w:type="paragraph" w:customStyle="1" w:styleId="ChartSource">
    <w:name w:val="Chart Source"/>
    <w:basedOn w:val="Caption"/>
    <w:link w:val="ChartSourceChar"/>
    <w:qFormat/>
    <w:rsid w:val="00947563"/>
    <w:pPr>
      <w:spacing w:before="120"/>
    </w:pPr>
    <w:rPr>
      <w:b w:val="0"/>
      <w:bCs w:val="0"/>
    </w:rPr>
  </w:style>
  <w:style w:type="character" w:customStyle="1" w:styleId="ChartSourceChar">
    <w:name w:val="Chart Source Char"/>
    <w:basedOn w:val="chapter-namechapterheadingsChar"/>
    <w:link w:val="ChartSource"/>
    <w:rsid w:val="00947563"/>
    <w:rPr>
      <w:rFonts w:ascii="Times New Roman" w:hAnsi="Times New Roman" w:cs="Helvetica LT Std"/>
      <w:b w:val="0"/>
      <w:color w:val="4472C4" w:themeColor="accent1"/>
      <w:sz w:val="18"/>
      <w:szCs w:val="18"/>
    </w:rPr>
  </w:style>
  <w:style w:type="paragraph" w:customStyle="1" w:styleId="ChartTitle">
    <w:name w:val="Chart Title"/>
    <w:basedOn w:val="chapter-namechapterheadings"/>
    <w:link w:val="ChartTitleChar"/>
    <w:qFormat/>
    <w:rsid w:val="0067345F"/>
    <w:pPr>
      <w:spacing w:after="240"/>
    </w:pPr>
    <w:rPr>
      <w:rFonts w:cs="Arial"/>
      <w:sz w:val="24"/>
      <w:szCs w:val="24"/>
    </w:rPr>
  </w:style>
  <w:style w:type="character" w:customStyle="1" w:styleId="ChartTitleChar">
    <w:name w:val="Chart Title Char"/>
    <w:basedOn w:val="chapter-namechapterheadingsChar"/>
    <w:link w:val="ChartTitle"/>
    <w:rsid w:val="0067345F"/>
    <w:rPr>
      <w:rFonts w:ascii="Helvetica LT Std" w:hAnsi="Helvetica LT Std" w:cs="Arial"/>
      <w:b/>
      <w:color w:val="0072B5"/>
      <w:sz w:val="24"/>
      <w:szCs w:val="24"/>
    </w:rPr>
  </w:style>
  <w:style w:type="paragraph" w:styleId="Footer">
    <w:name w:val="footer"/>
    <w:basedOn w:val="FootnoteText"/>
    <w:link w:val="FooterChar"/>
    <w:uiPriority w:val="99"/>
    <w:unhideWhenUsed/>
    <w:rsid w:val="007829A5"/>
    <w:pPr>
      <w:tabs>
        <w:tab w:val="center" w:pos="4680"/>
        <w:tab w:val="right" w:pos="9360"/>
      </w:tabs>
    </w:pPr>
    <w:rPr>
      <w:bCs w:val="0"/>
    </w:rPr>
  </w:style>
  <w:style w:type="character" w:customStyle="1" w:styleId="FooterChar">
    <w:name w:val="Footer Char"/>
    <w:basedOn w:val="DefaultParagraphFont"/>
    <w:link w:val="Footer"/>
    <w:uiPriority w:val="99"/>
    <w:rsid w:val="007829A5"/>
    <w:rPr>
      <w:rFonts w:cs="Arial"/>
      <w:sz w:val="18"/>
      <w:lang w:val="en-US"/>
    </w:rPr>
  </w:style>
  <w:style w:type="paragraph" w:styleId="Header">
    <w:name w:val="header"/>
    <w:basedOn w:val="Normal"/>
    <w:link w:val="HeaderChar"/>
    <w:uiPriority w:val="99"/>
    <w:unhideWhenUsed/>
    <w:rsid w:val="00074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244"/>
    <w:rPr>
      <w:rFonts w:cs="Arial"/>
      <w:bCs/>
      <w:lang w:val="en-US"/>
    </w:rPr>
  </w:style>
  <w:style w:type="table" w:styleId="LightShading">
    <w:name w:val="Light Shading"/>
    <w:basedOn w:val="TableNormal"/>
    <w:uiPriority w:val="60"/>
    <w:rsid w:val="00074244"/>
    <w:pPr>
      <w:spacing w:after="0" w:line="240" w:lineRule="auto"/>
    </w:pPr>
    <w:rPr>
      <w:rFonts w:cs="Arial"/>
      <w:bCs/>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74244"/>
    <w:pPr>
      <w:spacing w:after="0" w:line="240" w:lineRule="auto"/>
    </w:pPr>
    <w:rPr>
      <w:rFonts w:cs="Arial"/>
      <w:bCs/>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074244"/>
    <w:pPr>
      <w:spacing w:after="0" w:line="240" w:lineRule="auto"/>
    </w:pPr>
    <w:rPr>
      <w:rFonts w:cs="Arial"/>
      <w:bCs/>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Shading2-Accent1">
    <w:name w:val="Medium Shading 2 Accent 1"/>
    <w:basedOn w:val="TableNormal"/>
    <w:uiPriority w:val="64"/>
    <w:rsid w:val="00074244"/>
    <w:pPr>
      <w:spacing w:after="0" w:line="240" w:lineRule="auto"/>
    </w:pPr>
    <w:rPr>
      <w:rFonts w:cs="Arial"/>
      <w:bCs/>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basedOn w:val="DefaultParagraphFont"/>
    <w:link w:val="Heading3"/>
    <w:uiPriority w:val="9"/>
    <w:rsid w:val="00C13735"/>
    <w:rPr>
      <w:rFonts w:cs="Arial"/>
      <w:b/>
      <w:color w:val="1A4798"/>
      <w:sz w:val="24"/>
      <w:szCs w:val="24"/>
    </w:rPr>
  </w:style>
  <w:style w:type="character" w:customStyle="1" w:styleId="Heading2Char">
    <w:name w:val="Heading 2 Char"/>
    <w:basedOn w:val="DefaultParagraphFont"/>
    <w:link w:val="Heading2"/>
    <w:uiPriority w:val="9"/>
    <w:rsid w:val="00074244"/>
    <w:rPr>
      <w:rFonts w:cs="Arial"/>
      <w:b/>
      <w:color w:val="1A4798"/>
      <w:sz w:val="36"/>
      <w:szCs w:val="36"/>
    </w:rPr>
  </w:style>
  <w:style w:type="character" w:customStyle="1" w:styleId="Heading1Char">
    <w:name w:val="Heading 1 Char"/>
    <w:basedOn w:val="DefaultParagraphFont"/>
    <w:link w:val="Heading1"/>
    <w:uiPriority w:val="9"/>
    <w:rsid w:val="00074244"/>
    <w:rPr>
      <w:rFonts w:cs="Arial"/>
      <w:b/>
      <w:bCs/>
      <w:color w:val="00B3F0"/>
      <w:sz w:val="44"/>
      <w:szCs w:val="44"/>
      <w:lang w:val="en-US"/>
    </w:rPr>
  </w:style>
  <w:style w:type="paragraph" w:customStyle="1" w:styleId="SectionOptionTitleBlack">
    <w:name w:val="Section Option Title Black"/>
    <w:basedOn w:val="BasicParagraph"/>
    <w:link w:val="SectionOptionTitleBlackChar"/>
    <w:qFormat/>
    <w:rsid w:val="00074244"/>
    <w:pPr>
      <w:spacing w:before="120" w:line="240" w:lineRule="auto"/>
    </w:pPr>
    <w:rPr>
      <w:rFonts w:cs="Arial"/>
      <w:b/>
      <w:bCs w:val="0"/>
      <w:sz w:val="80"/>
      <w:szCs w:val="80"/>
    </w:rPr>
  </w:style>
  <w:style w:type="character" w:customStyle="1" w:styleId="SectionOptionTitleBlackChar">
    <w:name w:val="Section Option Title Black Char"/>
    <w:basedOn w:val="BasicParagraphChar"/>
    <w:link w:val="SectionOptionTitleBlack"/>
    <w:rsid w:val="00074244"/>
    <w:rPr>
      <w:rFonts w:ascii="Minion Pro" w:hAnsi="Minion Pro" w:cs="Arial"/>
      <w:b/>
      <w:bCs w:val="0"/>
      <w:color w:val="000000"/>
      <w:sz w:val="80"/>
      <w:szCs w:val="80"/>
      <w:lang w:val="en-US"/>
    </w:rPr>
  </w:style>
  <w:style w:type="paragraph" w:customStyle="1" w:styleId="SectionOptionTitleWhite">
    <w:name w:val="Section Option Title White"/>
    <w:basedOn w:val="BasicParagraph"/>
    <w:link w:val="SectionOptionTitleWhiteChar"/>
    <w:qFormat/>
    <w:rsid w:val="00074244"/>
    <w:pPr>
      <w:spacing w:before="120" w:line="240" w:lineRule="auto"/>
    </w:pPr>
    <w:rPr>
      <w:rFonts w:cs="Arial"/>
      <w:b/>
      <w:bCs w:val="0"/>
      <w:color w:val="FFFFFF" w:themeColor="background1"/>
      <w:sz w:val="80"/>
      <w:szCs w:val="80"/>
    </w:rPr>
  </w:style>
  <w:style w:type="character" w:customStyle="1" w:styleId="SectionOptionTitleWhiteChar">
    <w:name w:val="Section Option Title White Char"/>
    <w:basedOn w:val="BasicParagraphChar"/>
    <w:link w:val="SectionOptionTitleWhite"/>
    <w:rsid w:val="00074244"/>
    <w:rPr>
      <w:rFonts w:ascii="Minion Pro" w:hAnsi="Minion Pro" w:cs="Arial"/>
      <w:b/>
      <w:bCs w:val="0"/>
      <w:color w:val="FFFFFF" w:themeColor="background1"/>
      <w:sz w:val="80"/>
      <w:szCs w:val="80"/>
      <w:lang w:val="en-US"/>
    </w:rPr>
  </w:style>
  <w:style w:type="paragraph" w:customStyle="1" w:styleId="SectionTitleBlack">
    <w:name w:val="Section Title Black"/>
    <w:basedOn w:val="BasicParagraph"/>
    <w:link w:val="SectionTitleBlackChar"/>
    <w:qFormat/>
    <w:rsid w:val="00074244"/>
    <w:pPr>
      <w:spacing w:line="240" w:lineRule="auto"/>
    </w:pPr>
    <w:rPr>
      <w:rFonts w:cs="Arial"/>
      <w:sz w:val="40"/>
      <w:szCs w:val="40"/>
    </w:rPr>
  </w:style>
  <w:style w:type="character" w:customStyle="1" w:styleId="SectionTitleBlackChar">
    <w:name w:val="Section Title Black Char"/>
    <w:basedOn w:val="BasicParagraphChar"/>
    <w:link w:val="SectionTitleBlack"/>
    <w:rsid w:val="00074244"/>
    <w:rPr>
      <w:rFonts w:ascii="Minion Pro" w:hAnsi="Minion Pro" w:cs="Arial"/>
      <w:bCs/>
      <w:color w:val="000000"/>
      <w:sz w:val="40"/>
      <w:szCs w:val="40"/>
      <w:lang w:val="en-US"/>
    </w:rPr>
  </w:style>
  <w:style w:type="paragraph" w:styleId="Revision">
    <w:name w:val="Revision"/>
    <w:hidden/>
    <w:uiPriority w:val="99"/>
    <w:semiHidden/>
    <w:rsid w:val="00E43FCA"/>
    <w:pPr>
      <w:spacing w:after="0" w:line="240" w:lineRule="auto"/>
    </w:pPr>
  </w:style>
  <w:style w:type="paragraph" w:customStyle="1" w:styleId="SectionTitleWhite">
    <w:name w:val="Section Title White"/>
    <w:basedOn w:val="BasicParagraph"/>
    <w:link w:val="SectionTitleWhiteChar"/>
    <w:qFormat/>
    <w:rsid w:val="00074244"/>
    <w:pPr>
      <w:spacing w:line="240" w:lineRule="auto"/>
    </w:pPr>
    <w:rPr>
      <w:rFonts w:cs="Arial"/>
      <w:color w:val="FFFFFF" w:themeColor="background1"/>
      <w:sz w:val="40"/>
      <w:szCs w:val="40"/>
    </w:rPr>
  </w:style>
  <w:style w:type="character" w:customStyle="1" w:styleId="SectionTitleWhiteChar">
    <w:name w:val="Section Title White Char"/>
    <w:basedOn w:val="BasicParagraphChar"/>
    <w:link w:val="SectionTitleWhite"/>
    <w:rsid w:val="00074244"/>
    <w:rPr>
      <w:rFonts w:ascii="Minion Pro" w:hAnsi="Minion Pro" w:cs="Arial"/>
      <w:bCs/>
      <w:color w:val="FFFFFF" w:themeColor="background1"/>
      <w:sz w:val="40"/>
      <w:szCs w:val="40"/>
      <w:lang w:val="en-US"/>
    </w:rPr>
  </w:style>
  <w:style w:type="paragraph" w:styleId="Subtitle">
    <w:name w:val="Subtitle"/>
    <w:aliases w:val="Report Subtitle"/>
    <w:basedOn w:val="BasicParagraph"/>
    <w:next w:val="Normal"/>
    <w:link w:val="SubtitleChar"/>
    <w:uiPriority w:val="11"/>
    <w:qFormat/>
    <w:rsid w:val="00074244"/>
    <w:rPr>
      <w:rFonts w:ascii="Arial" w:hAnsi="Arial" w:cs="Arial"/>
      <w:sz w:val="36"/>
      <w:szCs w:val="36"/>
    </w:rPr>
  </w:style>
  <w:style w:type="character" w:customStyle="1" w:styleId="SubtitleChar">
    <w:name w:val="Subtitle Char"/>
    <w:aliases w:val="Report Subtitle Char"/>
    <w:basedOn w:val="DefaultParagraphFont"/>
    <w:link w:val="Subtitle"/>
    <w:uiPriority w:val="11"/>
    <w:rsid w:val="00074244"/>
    <w:rPr>
      <w:rFonts w:cs="Arial"/>
      <w:bCs/>
      <w:color w:val="000000"/>
      <w:sz w:val="36"/>
      <w:szCs w:val="36"/>
      <w:lang w:val="en-US"/>
    </w:rPr>
  </w:style>
  <w:style w:type="table" w:styleId="TableGrid">
    <w:name w:val="Table Grid"/>
    <w:basedOn w:val="TableNormal"/>
    <w:uiPriority w:val="59"/>
    <w:rsid w:val="00074244"/>
    <w:pPr>
      <w:spacing w:after="0" w:line="240" w:lineRule="auto"/>
    </w:pPr>
    <w:rPr>
      <w:rFonts w:cs="Arial"/>
      <w:bC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Report Title"/>
    <w:basedOn w:val="BasicParagraph"/>
    <w:next w:val="Normal"/>
    <w:link w:val="TitleChar"/>
    <w:uiPriority w:val="10"/>
    <w:qFormat/>
    <w:rsid w:val="00074244"/>
    <w:pPr>
      <w:spacing w:line="240" w:lineRule="auto"/>
    </w:pPr>
    <w:rPr>
      <w:rFonts w:ascii="Arial" w:hAnsi="Arial" w:cs="Arial"/>
      <w:b/>
      <w:bCs w:val="0"/>
      <w:sz w:val="96"/>
      <w:szCs w:val="96"/>
    </w:rPr>
  </w:style>
  <w:style w:type="character" w:customStyle="1" w:styleId="TitleChar">
    <w:name w:val="Title Char"/>
    <w:aliases w:val="Report Title Char"/>
    <w:basedOn w:val="DefaultParagraphFont"/>
    <w:link w:val="Title"/>
    <w:uiPriority w:val="10"/>
    <w:rsid w:val="00074244"/>
    <w:rPr>
      <w:rFonts w:cs="Arial"/>
      <w:b/>
      <w:color w:val="000000"/>
      <w:sz w:val="96"/>
      <w:szCs w:val="96"/>
      <w:lang w:val="en-US"/>
    </w:rPr>
  </w:style>
  <w:style w:type="paragraph" w:styleId="CommentText">
    <w:name w:val="annotation text"/>
    <w:basedOn w:val="Normal"/>
    <w:link w:val="CommentTextChar"/>
    <w:uiPriority w:val="99"/>
    <w:unhideWhenUsed/>
    <w:rsid w:val="004D4955"/>
    <w:pPr>
      <w:spacing w:line="240" w:lineRule="auto"/>
    </w:pPr>
    <w:rPr>
      <w:sz w:val="20"/>
      <w:szCs w:val="20"/>
    </w:rPr>
  </w:style>
  <w:style w:type="character" w:customStyle="1" w:styleId="CommentTextChar">
    <w:name w:val="Comment Text Char"/>
    <w:basedOn w:val="DefaultParagraphFont"/>
    <w:link w:val="CommentText"/>
    <w:uiPriority w:val="99"/>
    <w:rsid w:val="004D4955"/>
    <w:rPr>
      <w:rFonts w:cs="Arial"/>
      <w:bCs/>
      <w:sz w:val="20"/>
      <w:szCs w:val="20"/>
      <w:lang w:val="en-US"/>
    </w:rPr>
  </w:style>
  <w:style w:type="character" w:styleId="CommentReference">
    <w:name w:val="annotation reference"/>
    <w:basedOn w:val="DefaultParagraphFont"/>
    <w:uiPriority w:val="99"/>
    <w:semiHidden/>
    <w:unhideWhenUsed/>
    <w:rsid w:val="004D4955"/>
    <w:rPr>
      <w:sz w:val="16"/>
      <w:szCs w:val="16"/>
    </w:rPr>
  </w:style>
  <w:style w:type="paragraph" w:styleId="TOC1">
    <w:name w:val="toc 1"/>
    <w:basedOn w:val="Normal"/>
    <w:next w:val="Normal"/>
    <w:autoRedefine/>
    <w:uiPriority w:val="39"/>
    <w:unhideWhenUsed/>
    <w:rsid w:val="004450E2"/>
    <w:pPr>
      <w:tabs>
        <w:tab w:val="right" w:leader="dot" w:pos="9350"/>
      </w:tabs>
      <w:spacing w:after="100"/>
    </w:pPr>
  </w:style>
  <w:style w:type="paragraph" w:styleId="TOC2">
    <w:name w:val="toc 2"/>
    <w:basedOn w:val="Normal"/>
    <w:next w:val="Normal"/>
    <w:autoRedefine/>
    <w:uiPriority w:val="39"/>
    <w:unhideWhenUsed/>
    <w:rsid w:val="002D4B6F"/>
    <w:pPr>
      <w:tabs>
        <w:tab w:val="right" w:leader="dot" w:pos="9350"/>
      </w:tabs>
      <w:spacing w:after="100"/>
      <w:ind w:left="220"/>
    </w:pPr>
  </w:style>
  <w:style w:type="character" w:customStyle="1" w:styleId="Heading4Char">
    <w:name w:val="Heading 4 Char"/>
    <w:aliases w:val="Text Box Title Char"/>
    <w:basedOn w:val="DefaultParagraphFont"/>
    <w:link w:val="Heading4"/>
    <w:uiPriority w:val="9"/>
    <w:rsid w:val="00C13735"/>
    <w:rPr>
      <w:rFonts w:eastAsiaTheme="majorEastAsia" w:cs="Arial"/>
      <w:b/>
      <w:color w:val="4472C4" w:themeColor="accent1"/>
      <w:lang w:val="en-US"/>
    </w:rPr>
  </w:style>
  <w:style w:type="paragraph" w:styleId="TOC3">
    <w:name w:val="toc 3"/>
    <w:basedOn w:val="Normal"/>
    <w:next w:val="Normal"/>
    <w:autoRedefine/>
    <w:uiPriority w:val="39"/>
    <w:unhideWhenUsed/>
    <w:rsid w:val="001D6CDF"/>
    <w:pPr>
      <w:tabs>
        <w:tab w:val="right" w:leader="dot" w:pos="9350"/>
      </w:tabs>
      <w:spacing w:after="100"/>
      <w:ind w:left="440"/>
    </w:pPr>
  </w:style>
  <w:style w:type="character" w:styleId="Hyperlink">
    <w:name w:val="Hyperlink"/>
    <w:basedOn w:val="DefaultParagraphFont"/>
    <w:uiPriority w:val="99"/>
    <w:unhideWhenUsed/>
    <w:rsid w:val="00371813"/>
    <w:rPr>
      <w:color w:val="0563C1" w:themeColor="hyperlink"/>
      <w:u w:val="single"/>
    </w:rPr>
  </w:style>
  <w:style w:type="character" w:styleId="FootnoteReference">
    <w:name w:val="footnote reference"/>
    <w:basedOn w:val="DefaultParagraphFont"/>
    <w:uiPriority w:val="99"/>
    <w:unhideWhenUsed/>
    <w:rsid w:val="00F6539C"/>
    <w:rPr>
      <w:vertAlign w:val="superscript"/>
    </w:rPr>
  </w:style>
  <w:style w:type="character" w:customStyle="1" w:styleId="Heading5Char">
    <w:name w:val="Heading 5 Char"/>
    <w:basedOn w:val="DefaultParagraphFont"/>
    <w:link w:val="Heading5"/>
    <w:uiPriority w:val="9"/>
    <w:rsid w:val="00C7338F"/>
    <w:rPr>
      <w:rFonts w:eastAsiaTheme="majorEastAsia" w:cs="Arial"/>
      <w:b/>
      <w:color w:val="2F5496" w:themeColor="accent1" w:themeShade="BF"/>
      <w:lang w:val="en-US"/>
    </w:rPr>
  </w:style>
  <w:style w:type="paragraph" w:styleId="FootnoteText">
    <w:name w:val="footnote text"/>
    <w:basedOn w:val="Normal"/>
    <w:link w:val="FootnoteTextChar"/>
    <w:autoRedefine/>
    <w:uiPriority w:val="99"/>
    <w:unhideWhenUsed/>
    <w:rsid w:val="00D515E4"/>
    <w:pPr>
      <w:spacing w:after="80" w:line="240" w:lineRule="auto"/>
      <w:contextualSpacing/>
    </w:pPr>
    <w:rPr>
      <w:sz w:val="18"/>
    </w:rPr>
  </w:style>
  <w:style w:type="character" w:customStyle="1" w:styleId="FootnoteTextChar">
    <w:name w:val="Footnote Text Char"/>
    <w:basedOn w:val="DefaultParagraphFont"/>
    <w:link w:val="FootnoteText"/>
    <w:uiPriority w:val="99"/>
    <w:rsid w:val="00D515E4"/>
    <w:rPr>
      <w:rFonts w:cs="Arial"/>
      <w:bCs/>
      <w:sz w:val="18"/>
      <w:lang w:val="en-US"/>
    </w:rPr>
  </w:style>
  <w:style w:type="character" w:styleId="PageNumber">
    <w:name w:val="page number"/>
    <w:basedOn w:val="DefaultParagraphFont"/>
    <w:uiPriority w:val="99"/>
    <w:semiHidden/>
    <w:unhideWhenUsed/>
    <w:rsid w:val="00956FD2"/>
  </w:style>
  <w:style w:type="paragraph" w:styleId="CommentSubject">
    <w:name w:val="annotation subject"/>
    <w:basedOn w:val="CommentText"/>
    <w:next w:val="CommentText"/>
    <w:link w:val="CommentSubjectChar"/>
    <w:uiPriority w:val="99"/>
    <w:semiHidden/>
    <w:unhideWhenUsed/>
    <w:rsid w:val="00E26CE1"/>
    <w:rPr>
      <w:b/>
    </w:rPr>
  </w:style>
  <w:style w:type="character" w:customStyle="1" w:styleId="CommentSubjectChar">
    <w:name w:val="Comment Subject Char"/>
    <w:basedOn w:val="CommentTextChar"/>
    <w:link w:val="CommentSubject"/>
    <w:uiPriority w:val="99"/>
    <w:semiHidden/>
    <w:rsid w:val="00E26CE1"/>
    <w:rPr>
      <w:rFonts w:cs="Arial"/>
      <w:b/>
      <w:bCs/>
      <w:sz w:val="20"/>
      <w:szCs w:val="20"/>
      <w:lang w:val="en-US"/>
    </w:rPr>
  </w:style>
  <w:style w:type="paragraph" w:styleId="Bibliography">
    <w:name w:val="Bibliography"/>
    <w:basedOn w:val="Normal"/>
    <w:next w:val="Normal"/>
    <w:uiPriority w:val="37"/>
    <w:unhideWhenUsed/>
    <w:rsid w:val="004D52DA"/>
  </w:style>
  <w:style w:type="character" w:styleId="EndnoteReference">
    <w:name w:val="endnote reference"/>
    <w:basedOn w:val="DefaultParagraphFont"/>
    <w:uiPriority w:val="99"/>
    <w:semiHidden/>
    <w:unhideWhenUsed/>
    <w:rsid w:val="00265D73"/>
    <w:rPr>
      <w:vertAlign w:val="superscript"/>
    </w:rPr>
  </w:style>
  <w:style w:type="paragraph" w:styleId="ListParagraph">
    <w:name w:val="List Paragraph"/>
    <w:basedOn w:val="Normal"/>
    <w:uiPriority w:val="34"/>
    <w:qFormat/>
    <w:rsid w:val="00E3200A"/>
    <w:pPr>
      <w:ind w:left="720"/>
      <w:contextualSpacing/>
    </w:pPr>
  </w:style>
  <w:style w:type="character" w:customStyle="1" w:styleId="UnresolvedMention1">
    <w:name w:val="Unresolved Mention1"/>
    <w:basedOn w:val="DefaultParagraphFont"/>
    <w:uiPriority w:val="99"/>
    <w:semiHidden/>
    <w:unhideWhenUsed/>
    <w:rsid w:val="008F5961"/>
    <w:rPr>
      <w:color w:val="605E5C"/>
      <w:shd w:val="clear" w:color="auto" w:fill="E1DFDD"/>
    </w:rPr>
  </w:style>
  <w:style w:type="character" w:styleId="FollowedHyperlink">
    <w:name w:val="FollowedHyperlink"/>
    <w:basedOn w:val="DefaultParagraphFont"/>
    <w:uiPriority w:val="99"/>
    <w:semiHidden/>
    <w:unhideWhenUsed/>
    <w:rsid w:val="008F5961"/>
    <w:rPr>
      <w:color w:val="954F72" w:themeColor="followedHyperlink"/>
      <w:u w:val="single"/>
    </w:rPr>
  </w:style>
  <w:style w:type="paragraph" w:customStyle="1" w:styleId="Body">
    <w:name w:val="Body"/>
    <w:basedOn w:val="Normal"/>
    <w:link w:val="BodyChar"/>
    <w:qFormat/>
    <w:rsid w:val="00C8327F"/>
    <w:pPr>
      <w:spacing w:before="120" w:after="120" w:line="360" w:lineRule="auto"/>
    </w:pPr>
    <w:rPr>
      <w:bCs w:val="0"/>
      <w:lang w:val="en-CA"/>
    </w:rPr>
  </w:style>
  <w:style w:type="character" w:customStyle="1" w:styleId="BodyChar">
    <w:name w:val="Body Char"/>
    <w:basedOn w:val="DefaultParagraphFont"/>
    <w:link w:val="Body"/>
    <w:rsid w:val="00C8327F"/>
    <w:rPr>
      <w:rFonts w:cs="Arial"/>
    </w:rPr>
  </w:style>
  <w:style w:type="paragraph" w:customStyle="1" w:styleId="BulletList">
    <w:name w:val="BulletList"/>
    <w:basedOn w:val="Body"/>
    <w:link w:val="BulletListChar"/>
    <w:qFormat/>
    <w:rsid w:val="002B21E7"/>
    <w:pPr>
      <w:numPr>
        <w:numId w:val="22"/>
      </w:numPr>
    </w:pPr>
  </w:style>
  <w:style w:type="character" w:customStyle="1" w:styleId="BulletListChar">
    <w:name w:val="BulletList Char"/>
    <w:basedOn w:val="BodyChar"/>
    <w:link w:val="BulletList"/>
    <w:rsid w:val="002B21E7"/>
    <w:rPr>
      <w:rFonts w:cs="Arial"/>
    </w:rPr>
  </w:style>
  <w:style w:type="paragraph" w:customStyle="1" w:styleId="Footnotes">
    <w:name w:val="Footnotes"/>
    <w:basedOn w:val="FootnoteText"/>
    <w:link w:val="FootnotesChar"/>
    <w:qFormat/>
    <w:rsid w:val="0081216B"/>
    <w:pPr>
      <w:spacing w:after="240"/>
    </w:pPr>
    <w:rPr>
      <w:rFonts w:ascii="Calibri" w:hAnsi="Calibri"/>
      <w:bCs w:val="0"/>
      <w:szCs w:val="20"/>
    </w:rPr>
  </w:style>
  <w:style w:type="character" w:customStyle="1" w:styleId="FootnotesChar">
    <w:name w:val="Footnotes Char"/>
    <w:basedOn w:val="FootnoteTextChar"/>
    <w:link w:val="Footnotes"/>
    <w:rsid w:val="0081216B"/>
    <w:rPr>
      <w:rFonts w:ascii="Calibri" w:hAnsi="Calibri" w:cs="Arial"/>
      <w:bCs w:val="0"/>
      <w:sz w:val="18"/>
      <w:szCs w:val="20"/>
      <w:lang w:val="en-US"/>
    </w:rPr>
  </w:style>
  <w:style w:type="paragraph" w:styleId="Caption">
    <w:name w:val="caption"/>
    <w:basedOn w:val="Normal"/>
    <w:next w:val="Normal"/>
    <w:uiPriority w:val="35"/>
    <w:unhideWhenUsed/>
    <w:qFormat/>
    <w:rsid w:val="0081216B"/>
    <w:pPr>
      <w:spacing w:after="240" w:line="240" w:lineRule="auto"/>
      <w:contextualSpacing/>
    </w:pPr>
    <w:rPr>
      <w:rFonts w:ascii="Times New Roman" w:hAnsi="Times New Roman" w:cstheme="minorBidi"/>
      <w:b/>
      <w:color w:val="4472C4" w:themeColor="accent1"/>
      <w:sz w:val="18"/>
      <w:szCs w:val="18"/>
      <w:lang w:val="en-CA"/>
    </w:rPr>
  </w:style>
  <w:style w:type="table" w:customStyle="1" w:styleId="LightShading-Accent11">
    <w:name w:val="Light Shading - Accent 11"/>
    <w:basedOn w:val="TableNormal"/>
    <w:uiPriority w:val="60"/>
    <w:rsid w:val="0081216B"/>
    <w:pPr>
      <w:spacing w:after="0" w:line="240" w:lineRule="auto"/>
    </w:pPr>
    <w:rPr>
      <w:rFonts w:ascii="Calibri" w:eastAsia="Calibri" w:hAnsi="Calibri" w:cs="Times New Roman"/>
      <w:color w:val="2F5496" w:themeColor="accent1" w:themeShade="BF"/>
      <w:sz w:val="20"/>
      <w:szCs w:val="20"/>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MediumShading1-Accent11">
    <w:name w:val="Medium Shading 1 - Accent 11"/>
    <w:basedOn w:val="TableNormal"/>
    <w:uiPriority w:val="63"/>
    <w:rsid w:val="0067345F"/>
    <w:pPr>
      <w:spacing w:before="240" w:after="0" w:line="240" w:lineRule="auto"/>
    </w:pPr>
    <w:rPr>
      <w:rFonts w:asciiTheme="minorHAnsi" w:hAnsiTheme="minorHAnsi"/>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GridTable1Light">
    <w:name w:val="Grid Table 1 Light"/>
    <w:basedOn w:val="TableNormal"/>
    <w:uiPriority w:val="46"/>
    <w:rsid w:val="006734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319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aliases w:val="No Spacing - Nick"/>
    <w:link w:val="NoSpacingChar"/>
    <w:uiPriority w:val="1"/>
    <w:qFormat/>
    <w:rsid w:val="001D48F6"/>
    <w:pPr>
      <w:spacing w:after="0" w:line="240" w:lineRule="auto"/>
    </w:pPr>
    <w:rPr>
      <w:rFonts w:asciiTheme="minorHAnsi" w:eastAsiaTheme="minorEastAsia" w:hAnsiTheme="minorHAnsi"/>
      <w:lang w:val="en-US"/>
    </w:rPr>
  </w:style>
  <w:style w:type="character" w:customStyle="1" w:styleId="NoSpacingChar">
    <w:name w:val="No Spacing Char"/>
    <w:aliases w:val="No Spacing - Nick Char"/>
    <w:basedOn w:val="DefaultParagraphFont"/>
    <w:link w:val="NoSpacing"/>
    <w:uiPriority w:val="1"/>
    <w:rsid w:val="001D48F6"/>
    <w:rPr>
      <w:rFonts w:asciiTheme="minorHAnsi" w:eastAsiaTheme="minorEastAsia" w:hAnsiTheme="minorHAnsi"/>
      <w:lang w:val="en-US"/>
    </w:rPr>
  </w:style>
  <w:style w:type="table" w:styleId="GridTable4-Accent5">
    <w:name w:val="Grid Table 4 Accent 5"/>
    <w:basedOn w:val="TableNormal"/>
    <w:uiPriority w:val="49"/>
    <w:rsid w:val="009E12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5">
    <w:name w:val="toc 5"/>
    <w:basedOn w:val="Normal"/>
    <w:next w:val="Normal"/>
    <w:autoRedefine/>
    <w:uiPriority w:val="39"/>
    <w:unhideWhenUsed/>
    <w:rsid w:val="002E40B3"/>
    <w:pPr>
      <w:tabs>
        <w:tab w:val="right" w:leader="dot" w:pos="9350"/>
      </w:tabs>
      <w:spacing w:after="100"/>
      <w:ind w:left="880"/>
    </w:pPr>
  </w:style>
  <w:style w:type="character" w:styleId="PlaceholderText">
    <w:name w:val="Placeholder Text"/>
    <w:basedOn w:val="DefaultParagraphFont"/>
    <w:uiPriority w:val="99"/>
    <w:semiHidden/>
    <w:rsid w:val="006256FD"/>
    <w:rPr>
      <w:color w:val="808080"/>
    </w:rPr>
  </w:style>
  <w:style w:type="paragraph" w:styleId="NormalWeb">
    <w:name w:val="Normal (Web)"/>
    <w:basedOn w:val="Normal"/>
    <w:uiPriority w:val="99"/>
    <w:semiHidden/>
    <w:unhideWhenUsed/>
    <w:rsid w:val="00E15000"/>
    <w:pPr>
      <w:spacing w:before="100" w:beforeAutospacing="1" w:after="100" w:afterAutospacing="1" w:line="240" w:lineRule="auto"/>
    </w:pPr>
    <w:rPr>
      <w:rFonts w:ascii="Times New Roman" w:eastAsia="Times New Roman" w:hAnsi="Times New Roman" w:cs="Times New Roman"/>
      <w:bCs w:val="0"/>
      <w:sz w:val="24"/>
      <w:szCs w:val="24"/>
      <w:lang w:val="en-CA" w:eastAsia="en-CA"/>
    </w:rPr>
  </w:style>
  <w:style w:type="character" w:styleId="IntenseEmphasis">
    <w:name w:val="Intense Emphasis"/>
    <w:basedOn w:val="DefaultParagraphFont"/>
    <w:uiPriority w:val="21"/>
    <w:qFormat/>
    <w:rsid w:val="00FB3F1B"/>
    <w:rPr>
      <w:i/>
      <w:iCs/>
      <w:color w:val="4472C4" w:themeColor="accent1"/>
    </w:rPr>
  </w:style>
  <w:style w:type="character" w:styleId="UnresolvedMention">
    <w:name w:val="Unresolved Mention"/>
    <w:basedOn w:val="DefaultParagraphFont"/>
    <w:uiPriority w:val="99"/>
    <w:semiHidden/>
    <w:unhideWhenUsed/>
    <w:rsid w:val="009F72E5"/>
    <w:rPr>
      <w:color w:val="605E5C"/>
      <w:shd w:val="clear" w:color="auto" w:fill="E1DFDD"/>
    </w:rPr>
  </w:style>
  <w:style w:type="character" w:customStyle="1" w:styleId="Heading6Char">
    <w:name w:val="Heading 6 Char"/>
    <w:basedOn w:val="DefaultParagraphFont"/>
    <w:link w:val="Heading6"/>
    <w:uiPriority w:val="9"/>
    <w:rsid w:val="00842E42"/>
    <w:rPr>
      <w:rFonts w:eastAsiaTheme="majorEastAsia" w:cs="Arial"/>
      <w:b/>
      <w:color w:val="1F3763" w:themeColor="accent1" w:themeShade="7F"/>
      <w:lang w:val="en-US"/>
    </w:rPr>
  </w:style>
  <w:style w:type="paragraph" w:styleId="TOC4">
    <w:name w:val="toc 4"/>
    <w:basedOn w:val="Normal"/>
    <w:next w:val="Normal"/>
    <w:autoRedefine/>
    <w:uiPriority w:val="39"/>
    <w:unhideWhenUsed/>
    <w:rsid w:val="002E40B3"/>
    <w:pPr>
      <w:tabs>
        <w:tab w:val="right" w:leader="dot" w:pos="9350"/>
      </w:tabs>
      <w:spacing w:after="100"/>
      <w:ind w:left="660"/>
    </w:pPr>
  </w:style>
  <w:style w:type="paragraph" w:styleId="TOC6">
    <w:name w:val="toc 6"/>
    <w:basedOn w:val="Normal"/>
    <w:next w:val="Normal"/>
    <w:autoRedefine/>
    <w:uiPriority w:val="39"/>
    <w:unhideWhenUsed/>
    <w:rsid w:val="00EE7500"/>
    <w:pPr>
      <w:tabs>
        <w:tab w:val="right" w:leader="dot" w:pos="9350"/>
      </w:tabs>
      <w:spacing w:after="100"/>
      <w:ind w:left="1100"/>
    </w:pPr>
  </w:style>
  <w:style w:type="table" w:customStyle="1" w:styleId="LightShading-Accent13">
    <w:name w:val="Light Shading - Accent 13"/>
    <w:basedOn w:val="TableNormal"/>
    <w:uiPriority w:val="60"/>
    <w:rsid w:val="008B035C"/>
    <w:pPr>
      <w:spacing w:after="0" w:line="240" w:lineRule="auto"/>
    </w:pPr>
    <w:rPr>
      <w:rFonts w:asciiTheme="minorHAnsi" w:hAnsiTheme="minorHAnsi"/>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EndnoteText">
    <w:name w:val="endnote text"/>
    <w:basedOn w:val="Normal"/>
    <w:link w:val="EndnoteTextChar"/>
    <w:uiPriority w:val="99"/>
    <w:semiHidden/>
    <w:unhideWhenUsed/>
    <w:rsid w:val="00543C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3C1B"/>
    <w:rPr>
      <w:rFonts w:cs="Arial"/>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820">
      <w:bodyDiv w:val="1"/>
      <w:marLeft w:val="0"/>
      <w:marRight w:val="0"/>
      <w:marTop w:val="0"/>
      <w:marBottom w:val="0"/>
      <w:divBdr>
        <w:top w:val="none" w:sz="0" w:space="0" w:color="auto"/>
        <w:left w:val="none" w:sz="0" w:space="0" w:color="auto"/>
        <w:bottom w:val="none" w:sz="0" w:space="0" w:color="auto"/>
        <w:right w:val="none" w:sz="0" w:space="0" w:color="auto"/>
      </w:divBdr>
    </w:div>
    <w:div w:id="11952697">
      <w:bodyDiv w:val="1"/>
      <w:marLeft w:val="0"/>
      <w:marRight w:val="0"/>
      <w:marTop w:val="0"/>
      <w:marBottom w:val="0"/>
      <w:divBdr>
        <w:top w:val="none" w:sz="0" w:space="0" w:color="auto"/>
        <w:left w:val="none" w:sz="0" w:space="0" w:color="auto"/>
        <w:bottom w:val="none" w:sz="0" w:space="0" w:color="auto"/>
        <w:right w:val="none" w:sz="0" w:space="0" w:color="auto"/>
      </w:divBdr>
    </w:div>
    <w:div w:id="16665239">
      <w:bodyDiv w:val="1"/>
      <w:marLeft w:val="0"/>
      <w:marRight w:val="0"/>
      <w:marTop w:val="0"/>
      <w:marBottom w:val="0"/>
      <w:divBdr>
        <w:top w:val="none" w:sz="0" w:space="0" w:color="auto"/>
        <w:left w:val="none" w:sz="0" w:space="0" w:color="auto"/>
        <w:bottom w:val="none" w:sz="0" w:space="0" w:color="auto"/>
        <w:right w:val="none" w:sz="0" w:space="0" w:color="auto"/>
      </w:divBdr>
    </w:div>
    <w:div w:id="17702522">
      <w:bodyDiv w:val="1"/>
      <w:marLeft w:val="0"/>
      <w:marRight w:val="0"/>
      <w:marTop w:val="0"/>
      <w:marBottom w:val="0"/>
      <w:divBdr>
        <w:top w:val="none" w:sz="0" w:space="0" w:color="auto"/>
        <w:left w:val="none" w:sz="0" w:space="0" w:color="auto"/>
        <w:bottom w:val="none" w:sz="0" w:space="0" w:color="auto"/>
        <w:right w:val="none" w:sz="0" w:space="0" w:color="auto"/>
      </w:divBdr>
    </w:div>
    <w:div w:id="60099998">
      <w:bodyDiv w:val="1"/>
      <w:marLeft w:val="0"/>
      <w:marRight w:val="0"/>
      <w:marTop w:val="0"/>
      <w:marBottom w:val="0"/>
      <w:divBdr>
        <w:top w:val="none" w:sz="0" w:space="0" w:color="auto"/>
        <w:left w:val="none" w:sz="0" w:space="0" w:color="auto"/>
        <w:bottom w:val="none" w:sz="0" w:space="0" w:color="auto"/>
        <w:right w:val="none" w:sz="0" w:space="0" w:color="auto"/>
      </w:divBdr>
      <w:divsChild>
        <w:div w:id="380638783">
          <w:marLeft w:val="0"/>
          <w:marRight w:val="0"/>
          <w:marTop w:val="0"/>
          <w:marBottom w:val="0"/>
          <w:divBdr>
            <w:top w:val="none" w:sz="0" w:space="0" w:color="auto"/>
            <w:left w:val="none" w:sz="0" w:space="0" w:color="auto"/>
            <w:bottom w:val="none" w:sz="0" w:space="0" w:color="auto"/>
            <w:right w:val="none" w:sz="0" w:space="0" w:color="auto"/>
          </w:divBdr>
          <w:divsChild>
            <w:div w:id="1772386306">
              <w:marLeft w:val="0"/>
              <w:marRight w:val="0"/>
              <w:marTop w:val="0"/>
              <w:marBottom w:val="0"/>
              <w:divBdr>
                <w:top w:val="none" w:sz="0" w:space="0" w:color="auto"/>
                <w:left w:val="none" w:sz="0" w:space="0" w:color="auto"/>
                <w:bottom w:val="none" w:sz="0" w:space="0" w:color="auto"/>
                <w:right w:val="none" w:sz="0" w:space="0" w:color="auto"/>
              </w:divBdr>
              <w:divsChild>
                <w:div w:id="814763506">
                  <w:marLeft w:val="0"/>
                  <w:marRight w:val="0"/>
                  <w:marTop w:val="0"/>
                  <w:marBottom w:val="0"/>
                  <w:divBdr>
                    <w:top w:val="none" w:sz="0" w:space="0" w:color="auto"/>
                    <w:left w:val="none" w:sz="0" w:space="0" w:color="auto"/>
                    <w:bottom w:val="none" w:sz="0" w:space="0" w:color="auto"/>
                    <w:right w:val="none" w:sz="0" w:space="0" w:color="auto"/>
                  </w:divBdr>
                  <w:divsChild>
                    <w:div w:id="20253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4758">
      <w:bodyDiv w:val="1"/>
      <w:marLeft w:val="0"/>
      <w:marRight w:val="0"/>
      <w:marTop w:val="0"/>
      <w:marBottom w:val="0"/>
      <w:divBdr>
        <w:top w:val="none" w:sz="0" w:space="0" w:color="auto"/>
        <w:left w:val="none" w:sz="0" w:space="0" w:color="auto"/>
        <w:bottom w:val="none" w:sz="0" w:space="0" w:color="auto"/>
        <w:right w:val="none" w:sz="0" w:space="0" w:color="auto"/>
      </w:divBdr>
      <w:divsChild>
        <w:div w:id="1523086087">
          <w:marLeft w:val="0"/>
          <w:marRight w:val="0"/>
          <w:marTop w:val="0"/>
          <w:marBottom w:val="0"/>
          <w:divBdr>
            <w:top w:val="none" w:sz="0" w:space="0" w:color="auto"/>
            <w:left w:val="none" w:sz="0" w:space="0" w:color="auto"/>
            <w:bottom w:val="none" w:sz="0" w:space="0" w:color="auto"/>
            <w:right w:val="none" w:sz="0" w:space="0" w:color="auto"/>
          </w:divBdr>
          <w:divsChild>
            <w:div w:id="2073115137">
              <w:marLeft w:val="0"/>
              <w:marRight w:val="0"/>
              <w:marTop w:val="0"/>
              <w:marBottom w:val="0"/>
              <w:divBdr>
                <w:top w:val="none" w:sz="0" w:space="0" w:color="auto"/>
                <w:left w:val="none" w:sz="0" w:space="0" w:color="auto"/>
                <w:bottom w:val="none" w:sz="0" w:space="0" w:color="auto"/>
                <w:right w:val="none" w:sz="0" w:space="0" w:color="auto"/>
              </w:divBdr>
              <w:divsChild>
                <w:div w:id="1895004322">
                  <w:marLeft w:val="0"/>
                  <w:marRight w:val="0"/>
                  <w:marTop w:val="0"/>
                  <w:marBottom w:val="0"/>
                  <w:divBdr>
                    <w:top w:val="none" w:sz="0" w:space="0" w:color="auto"/>
                    <w:left w:val="none" w:sz="0" w:space="0" w:color="auto"/>
                    <w:bottom w:val="none" w:sz="0" w:space="0" w:color="auto"/>
                    <w:right w:val="none" w:sz="0" w:space="0" w:color="auto"/>
                  </w:divBdr>
                  <w:divsChild>
                    <w:div w:id="6373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3248">
      <w:bodyDiv w:val="1"/>
      <w:marLeft w:val="0"/>
      <w:marRight w:val="0"/>
      <w:marTop w:val="0"/>
      <w:marBottom w:val="0"/>
      <w:divBdr>
        <w:top w:val="none" w:sz="0" w:space="0" w:color="auto"/>
        <w:left w:val="none" w:sz="0" w:space="0" w:color="auto"/>
        <w:bottom w:val="none" w:sz="0" w:space="0" w:color="auto"/>
        <w:right w:val="none" w:sz="0" w:space="0" w:color="auto"/>
      </w:divBdr>
    </w:div>
    <w:div w:id="159472123">
      <w:bodyDiv w:val="1"/>
      <w:marLeft w:val="0"/>
      <w:marRight w:val="0"/>
      <w:marTop w:val="0"/>
      <w:marBottom w:val="0"/>
      <w:divBdr>
        <w:top w:val="none" w:sz="0" w:space="0" w:color="auto"/>
        <w:left w:val="none" w:sz="0" w:space="0" w:color="auto"/>
        <w:bottom w:val="none" w:sz="0" w:space="0" w:color="auto"/>
        <w:right w:val="none" w:sz="0" w:space="0" w:color="auto"/>
      </w:divBdr>
    </w:div>
    <w:div w:id="254097992">
      <w:bodyDiv w:val="1"/>
      <w:marLeft w:val="0"/>
      <w:marRight w:val="0"/>
      <w:marTop w:val="0"/>
      <w:marBottom w:val="0"/>
      <w:divBdr>
        <w:top w:val="none" w:sz="0" w:space="0" w:color="auto"/>
        <w:left w:val="none" w:sz="0" w:space="0" w:color="auto"/>
        <w:bottom w:val="none" w:sz="0" w:space="0" w:color="auto"/>
        <w:right w:val="none" w:sz="0" w:space="0" w:color="auto"/>
      </w:divBdr>
    </w:div>
    <w:div w:id="296834997">
      <w:bodyDiv w:val="1"/>
      <w:marLeft w:val="0"/>
      <w:marRight w:val="0"/>
      <w:marTop w:val="0"/>
      <w:marBottom w:val="0"/>
      <w:divBdr>
        <w:top w:val="none" w:sz="0" w:space="0" w:color="auto"/>
        <w:left w:val="none" w:sz="0" w:space="0" w:color="auto"/>
        <w:bottom w:val="none" w:sz="0" w:space="0" w:color="auto"/>
        <w:right w:val="none" w:sz="0" w:space="0" w:color="auto"/>
      </w:divBdr>
    </w:div>
    <w:div w:id="358165652">
      <w:bodyDiv w:val="1"/>
      <w:marLeft w:val="0"/>
      <w:marRight w:val="0"/>
      <w:marTop w:val="0"/>
      <w:marBottom w:val="0"/>
      <w:divBdr>
        <w:top w:val="none" w:sz="0" w:space="0" w:color="auto"/>
        <w:left w:val="none" w:sz="0" w:space="0" w:color="auto"/>
        <w:bottom w:val="none" w:sz="0" w:space="0" w:color="auto"/>
        <w:right w:val="none" w:sz="0" w:space="0" w:color="auto"/>
      </w:divBdr>
      <w:divsChild>
        <w:div w:id="1205798236">
          <w:marLeft w:val="0"/>
          <w:marRight w:val="0"/>
          <w:marTop w:val="0"/>
          <w:marBottom w:val="0"/>
          <w:divBdr>
            <w:top w:val="none" w:sz="0" w:space="0" w:color="auto"/>
            <w:left w:val="none" w:sz="0" w:space="0" w:color="auto"/>
            <w:bottom w:val="none" w:sz="0" w:space="0" w:color="auto"/>
            <w:right w:val="none" w:sz="0" w:space="0" w:color="auto"/>
          </w:divBdr>
          <w:divsChild>
            <w:div w:id="1694068645">
              <w:marLeft w:val="0"/>
              <w:marRight w:val="0"/>
              <w:marTop w:val="0"/>
              <w:marBottom w:val="0"/>
              <w:divBdr>
                <w:top w:val="none" w:sz="0" w:space="0" w:color="auto"/>
                <w:left w:val="none" w:sz="0" w:space="0" w:color="auto"/>
                <w:bottom w:val="none" w:sz="0" w:space="0" w:color="auto"/>
                <w:right w:val="none" w:sz="0" w:space="0" w:color="auto"/>
              </w:divBdr>
              <w:divsChild>
                <w:div w:id="2035156298">
                  <w:marLeft w:val="0"/>
                  <w:marRight w:val="0"/>
                  <w:marTop w:val="0"/>
                  <w:marBottom w:val="0"/>
                  <w:divBdr>
                    <w:top w:val="none" w:sz="0" w:space="0" w:color="auto"/>
                    <w:left w:val="none" w:sz="0" w:space="0" w:color="auto"/>
                    <w:bottom w:val="none" w:sz="0" w:space="0" w:color="auto"/>
                    <w:right w:val="none" w:sz="0" w:space="0" w:color="auto"/>
                  </w:divBdr>
                  <w:divsChild>
                    <w:div w:id="19599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89541">
      <w:bodyDiv w:val="1"/>
      <w:marLeft w:val="0"/>
      <w:marRight w:val="0"/>
      <w:marTop w:val="0"/>
      <w:marBottom w:val="0"/>
      <w:divBdr>
        <w:top w:val="none" w:sz="0" w:space="0" w:color="auto"/>
        <w:left w:val="none" w:sz="0" w:space="0" w:color="auto"/>
        <w:bottom w:val="none" w:sz="0" w:space="0" w:color="auto"/>
        <w:right w:val="none" w:sz="0" w:space="0" w:color="auto"/>
      </w:divBdr>
    </w:div>
    <w:div w:id="383942564">
      <w:bodyDiv w:val="1"/>
      <w:marLeft w:val="0"/>
      <w:marRight w:val="0"/>
      <w:marTop w:val="0"/>
      <w:marBottom w:val="0"/>
      <w:divBdr>
        <w:top w:val="none" w:sz="0" w:space="0" w:color="auto"/>
        <w:left w:val="none" w:sz="0" w:space="0" w:color="auto"/>
        <w:bottom w:val="none" w:sz="0" w:space="0" w:color="auto"/>
        <w:right w:val="none" w:sz="0" w:space="0" w:color="auto"/>
      </w:divBdr>
    </w:div>
    <w:div w:id="406533876">
      <w:bodyDiv w:val="1"/>
      <w:marLeft w:val="0"/>
      <w:marRight w:val="0"/>
      <w:marTop w:val="0"/>
      <w:marBottom w:val="0"/>
      <w:divBdr>
        <w:top w:val="none" w:sz="0" w:space="0" w:color="auto"/>
        <w:left w:val="none" w:sz="0" w:space="0" w:color="auto"/>
        <w:bottom w:val="none" w:sz="0" w:space="0" w:color="auto"/>
        <w:right w:val="none" w:sz="0" w:space="0" w:color="auto"/>
      </w:divBdr>
    </w:div>
    <w:div w:id="420837308">
      <w:bodyDiv w:val="1"/>
      <w:marLeft w:val="0"/>
      <w:marRight w:val="0"/>
      <w:marTop w:val="0"/>
      <w:marBottom w:val="0"/>
      <w:divBdr>
        <w:top w:val="none" w:sz="0" w:space="0" w:color="auto"/>
        <w:left w:val="none" w:sz="0" w:space="0" w:color="auto"/>
        <w:bottom w:val="none" w:sz="0" w:space="0" w:color="auto"/>
        <w:right w:val="none" w:sz="0" w:space="0" w:color="auto"/>
      </w:divBdr>
    </w:div>
    <w:div w:id="422343847">
      <w:bodyDiv w:val="1"/>
      <w:marLeft w:val="0"/>
      <w:marRight w:val="0"/>
      <w:marTop w:val="0"/>
      <w:marBottom w:val="0"/>
      <w:divBdr>
        <w:top w:val="none" w:sz="0" w:space="0" w:color="auto"/>
        <w:left w:val="none" w:sz="0" w:space="0" w:color="auto"/>
        <w:bottom w:val="none" w:sz="0" w:space="0" w:color="auto"/>
        <w:right w:val="none" w:sz="0" w:space="0" w:color="auto"/>
      </w:divBdr>
    </w:div>
    <w:div w:id="427426299">
      <w:bodyDiv w:val="1"/>
      <w:marLeft w:val="0"/>
      <w:marRight w:val="0"/>
      <w:marTop w:val="0"/>
      <w:marBottom w:val="0"/>
      <w:divBdr>
        <w:top w:val="none" w:sz="0" w:space="0" w:color="auto"/>
        <w:left w:val="none" w:sz="0" w:space="0" w:color="auto"/>
        <w:bottom w:val="none" w:sz="0" w:space="0" w:color="auto"/>
        <w:right w:val="none" w:sz="0" w:space="0" w:color="auto"/>
      </w:divBdr>
    </w:div>
    <w:div w:id="486366680">
      <w:bodyDiv w:val="1"/>
      <w:marLeft w:val="0"/>
      <w:marRight w:val="0"/>
      <w:marTop w:val="0"/>
      <w:marBottom w:val="0"/>
      <w:divBdr>
        <w:top w:val="none" w:sz="0" w:space="0" w:color="auto"/>
        <w:left w:val="none" w:sz="0" w:space="0" w:color="auto"/>
        <w:bottom w:val="none" w:sz="0" w:space="0" w:color="auto"/>
        <w:right w:val="none" w:sz="0" w:space="0" w:color="auto"/>
      </w:divBdr>
    </w:div>
    <w:div w:id="539129643">
      <w:bodyDiv w:val="1"/>
      <w:marLeft w:val="0"/>
      <w:marRight w:val="0"/>
      <w:marTop w:val="0"/>
      <w:marBottom w:val="0"/>
      <w:divBdr>
        <w:top w:val="none" w:sz="0" w:space="0" w:color="auto"/>
        <w:left w:val="none" w:sz="0" w:space="0" w:color="auto"/>
        <w:bottom w:val="none" w:sz="0" w:space="0" w:color="auto"/>
        <w:right w:val="none" w:sz="0" w:space="0" w:color="auto"/>
      </w:divBdr>
    </w:div>
    <w:div w:id="558516556">
      <w:bodyDiv w:val="1"/>
      <w:marLeft w:val="0"/>
      <w:marRight w:val="0"/>
      <w:marTop w:val="0"/>
      <w:marBottom w:val="0"/>
      <w:divBdr>
        <w:top w:val="none" w:sz="0" w:space="0" w:color="auto"/>
        <w:left w:val="none" w:sz="0" w:space="0" w:color="auto"/>
        <w:bottom w:val="none" w:sz="0" w:space="0" w:color="auto"/>
        <w:right w:val="none" w:sz="0" w:space="0" w:color="auto"/>
      </w:divBdr>
    </w:div>
    <w:div w:id="563955998">
      <w:bodyDiv w:val="1"/>
      <w:marLeft w:val="0"/>
      <w:marRight w:val="0"/>
      <w:marTop w:val="0"/>
      <w:marBottom w:val="0"/>
      <w:divBdr>
        <w:top w:val="none" w:sz="0" w:space="0" w:color="auto"/>
        <w:left w:val="none" w:sz="0" w:space="0" w:color="auto"/>
        <w:bottom w:val="none" w:sz="0" w:space="0" w:color="auto"/>
        <w:right w:val="none" w:sz="0" w:space="0" w:color="auto"/>
      </w:divBdr>
    </w:div>
    <w:div w:id="584001370">
      <w:bodyDiv w:val="1"/>
      <w:marLeft w:val="0"/>
      <w:marRight w:val="0"/>
      <w:marTop w:val="0"/>
      <w:marBottom w:val="0"/>
      <w:divBdr>
        <w:top w:val="none" w:sz="0" w:space="0" w:color="auto"/>
        <w:left w:val="none" w:sz="0" w:space="0" w:color="auto"/>
        <w:bottom w:val="none" w:sz="0" w:space="0" w:color="auto"/>
        <w:right w:val="none" w:sz="0" w:space="0" w:color="auto"/>
      </w:divBdr>
    </w:div>
    <w:div w:id="636689338">
      <w:bodyDiv w:val="1"/>
      <w:marLeft w:val="0"/>
      <w:marRight w:val="0"/>
      <w:marTop w:val="0"/>
      <w:marBottom w:val="0"/>
      <w:divBdr>
        <w:top w:val="none" w:sz="0" w:space="0" w:color="auto"/>
        <w:left w:val="none" w:sz="0" w:space="0" w:color="auto"/>
        <w:bottom w:val="none" w:sz="0" w:space="0" w:color="auto"/>
        <w:right w:val="none" w:sz="0" w:space="0" w:color="auto"/>
      </w:divBdr>
    </w:div>
    <w:div w:id="656884338">
      <w:bodyDiv w:val="1"/>
      <w:marLeft w:val="0"/>
      <w:marRight w:val="0"/>
      <w:marTop w:val="0"/>
      <w:marBottom w:val="0"/>
      <w:divBdr>
        <w:top w:val="none" w:sz="0" w:space="0" w:color="auto"/>
        <w:left w:val="none" w:sz="0" w:space="0" w:color="auto"/>
        <w:bottom w:val="none" w:sz="0" w:space="0" w:color="auto"/>
        <w:right w:val="none" w:sz="0" w:space="0" w:color="auto"/>
      </w:divBdr>
    </w:div>
    <w:div w:id="688530866">
      <w:bodyDiv w:val="1"/>
      <w:marLeft w:val="0"/>
      <w:marRight w:val="0"/>
      <w:marTop w:val="0"/>
      <w:marBottom w:val="0"/>
      <w:divBdr>
        <w:top w:val="none" w:sz="0" w:space="0" w:color="auto"/>
        <w:left w:val="none" w:sz="0" w:space="0" w:color="auto"/>
        <w:bottom w:val="none" w:sz="0" w:space="0" w:color="auto"/>
        <w:right w:val="none" w:sz="0" w:space="0" w:color="auto"/>
      </w:divBdr>
    </w:div>
    <w:div w:id="754859165">
      <w:bodyDiv w:val="1"/>
      <w:marLeft w:val="0"/>
      <w:marRight w:val="0"/>
      <w:marTop w:val="0"/>
      <w:marBottom w:val="0"/>
      <w:divBdr>
        <w:top w:val="none" w:sz="0" w:space="0" w:color="auto"/>
        <w:left w:val="none" w:sz="0" w:space="0" w:color="auto"/>
        <w:bottom w:val="none" w:sz="0" w:space="0" w:color="auto"/>
        <w:right w:val="none" w:sz="0" w:space="0" w:color="auto"/>
      </w:divBdr>
    </w:div>
    <w:div w:id="769736811">
      <w:bodyDiv w:val="1"/>
      <w:marLeft w:val="0"/>
      <w:marRight w:val="0"/>
      <w:marTop w:val="0"/>
      <w:marBottom w:val="0"/>
      <w:divBdr>
        <w:top w:val="none" w:sz="0" w:space="0" w:color="auto"/>
        <w:left w:val="none" w:sz="0" w:space="0" w:color="auto"/>
        <w:bottom w:val="none" w:sz="0" w:space="0" w:color="auto"/>
        <w:right w:val="none" w:sz="0" w:space="0" w:color="auto"/>
      </w:divBdr>
    </w:div>
    <w:div w:id="807477611">
      <w:bodyDiv w:val="1"/>
      <w:marLeft w:val="0"/>
      <w:marRight w:val="0"/>
      <w:marTop w:val="0"/>
      <w:marBottom w:val="0"/>
      <w:divBdr>
        <w:top w:val="none" w:sz="0" w:space="0" w:color="auto"/>
        <w:left w:val="none" w:sz="0" w:space="0" w:color="auto"/>
        <w:bottom w:val="none" w:sz="0" w:space="0" w:color="auto"/>
        <w:right w:val="none" w:sz="0" w:space="0" w:color="auto"/>
      </w:divBdr>
    </w:div>
    <w:div w:id="824395534">
      <w:bodyDiv w:val="1"/>
      <w:marLeft w:val="0"/>
      <w:marRight w:val="0"/>
      <w:marTop w:val="0"/>
      <w:marBottom w:val="0"/>
      <w:divBdr>
        <w:top w:val="none" w:sz="0" w:space="0" w:color="auto"/>
        <w:left w:val="none" w:sz="0" w:space="0" w:color="auto"/>
        <w:bottom w:val="none" w:sz="0" w:space="0" w:color="auto"/>
        <w:right w:val="none" w:sz="0" w:space="0" w:color="auto"/>
      </w:divBdr>
    </w:div>
    <w:div w:id="879510525">
      <w:bodyDiv w:val="1"/>
      <w:marLeft w:val="0"/>
      <w:marRight w:val="0"/>
      <w:marTop w:val="0"/>
      <w:marBottom w:val="0"/>
      <w:divBdr>
        <w:top w:val="none" w:sz="0" w:space="0" w:color="auto"/>
        <w:left w:val="none" w:sz="0" w:space="0" w:color="auto"/>
        <w:bottom w:val="none" w:sz="0" w:space="0" w:color="auto"/>
        <w:right w:val="none" w:sz="0" w:space="0" w:color="auto"/>
      </w:divBdr>
    </w:div>
    <w:div w:id="891773465">
      <w:bodyDiv w:val="1"/>
      <w:marLeft w:val="0"/>
      <w:marRight w:val="0"/>
      <w:marTop w:val="0"/>
      <w:marBottom w:val="0"/>
      <w:divBdr>
        <w:top w:val="none" w:sz="0" w:space="0" w:color="auto"/>
        <w:left w:val="none" w:sz="0" w:space="0" w:color="auto"/>
        <w:bottom w:val="none" w:sz="0" w:space="0" w:color="auto"/>
        <w:right w:val="none" w:sz="0" w:space="0" w:color="auto"/>
      </w:divBdr>
    </w:div>
    <w:div w:id="1011100991">
      <w:bodyDiv w:val="1"/>
      <w:marLeft w:val="0"/>
      <w:marRight w:val="0"/>
      <w:marTop w:val="0"/>
      <w:marBottom w:val="0"/>
      <w:divBdr>
        <w:top w:val="none" w:sz="0" w:space="0" w:color="auto"/>
        <w:left w:val="none" w:sz="0" w:space="0" w:color="auto"/>
        <w:bottom w:val="none" w:sz="0" w:space="0" w:color="auto"/>
        <w:right w:val="none" w:sz="0" w:space="0" w:color="auto"/>
      </w:divBdr>
    </w:div>
    <w:div w:id="1034768705">
      <w:bodyDiv w:val="1"/>
      <w:marLeft w:val="0"/>
      <w:marRight w:val="0"/>
      <w:marTop w:val="0"/>
      <w:marBottom w:val="0"/>
      <w:divBdr>
        <w:top w:val="none" w:sz="0" w:space="0" w:color="auto"/>
        <w:left w:val="none" w:sz="0" w:space="0" w:color="auto"/>
        <w:bottom w:val="none" w:sz="0" w:space="0" w:color="auto"/>
        <w:right w:val="none" w:sz="0" w:space="0" w:color="auto"/>
      </w:divBdr>
    </w:div>
    <w:div w:id="1211918485">
      <w:bodyDiv w:val="1"/>
      <w:marLeft w:val="0"/>
      <w:marRight w:val="0"/>
      <w:marTop w:val="0"/>
      <w:marBottom w:val="0"/>
      <w:divBdr>
        <w:top w:val="none" w:sz="0" w:space="0" w:color="auto"/>
        <w:left w:val="none" w:sz="0" w:space="0" w:color="auto"/>
        <w:bottom w:val="none" w:sz="0" w:space="0" w:color="auto"/>
        <w:right w:val="none" w:sz="0" w:space="0" w:color="auto"/>
      </w:divBdr>
    </w:div>
    <w:div w:id="1248031859">
      <w:bodyDiv w:val="1"/>
      <w:marLeft w:val="0"/>
      <w:marRight w:val="0"/>
      <w:marTop w:val="0"/>
      <w:marBottom w:val="0"/>
      <w:divBdr>
        <w:top w:val="none" w:sz="0" w:space="0" w:color="auto"/>
        <w:left w:val="none" w:sz="0" w:space="0" w:color="auto"/>
        <w:bottom w:val="none" w:sz="0" w:space="0" w:color="auto"/>
        <w:right w:val="none" w:sz="0" w:space="0" w:color="auto"/>
      </w:divBdr>
    </w:div>
    <w:div w:id="1260604751">
      <w:bodyDiv w:val="1"/>
      <w:marLeft w:val="0"/>
      <w:marRight w:val="0"/>
      <w:marTop w:val="0"/>
      <w:marBottom w:val="0"/>
      <w:divBdr>
        <w:top w:val="none" w:sz="0" w:space="0" w:color="auto"/>
        <w:left w:val="none" w:sz="0" w:space="0" w:color="auto"/>
        <w:bottom w:val="none" w:sz="0" w:space="0" w:color="auto"/>
        <w:right w:val="none" w:sz="0" w:space="0" w:color="auto"/>
      </w:divBdr>
    </w:div>
    <w:div w:id="1320427575">
      <w:bodyDiv w:val="1"/>
      <w:marLeft w:val="0"/>
      <w:marRight w:val="0"/>
      <w:marTop w:val="0"/>
      <w:marBottom w:val="0"/>
      <w:divBdr>
        <w:top w:val="none" w:sz="0" w:space="0" w:color="auto"/>
        <w:left w:val="none" w:sz="0" w:space="0" w:color="auto"/>
        <w:bottom w:val="none" w:sz="0" w:space="0" w:color="auto"/>
        <w:right w:val="none" w:sz="0" w:space="0" w:color="auto"/>
      </w:divBdr>
    </w:div>
    <w:div w:id="1323386750">
      <w:bodyDiv w:val="1"/>
      <w:marLeft w:val="0"/>
      <w:marRight w:val="0"/>
      <w:marTop w:val="0"/>
      <w:marBottom w:val="0"/>
      <w:divBdr>
        <w:top w:val="none" w:sz="0" w:space="0" w:color="auto"/>
        <w:left w:val="none" w:sz="0" w:space="0" w:color="auto"/>
        <w:bottom w:val="none" w:sz="0" w:space="0" w:color="auto"/>
        <w:right w:val="none" w:sz="0" w:space="0" w:color="auto"/>
      </w:divBdr>
    </w:div>
    <w:div w:id="1325670485">
      <w:bodyDiv w:val="1"/>
      <w:marLeft w:val="0"/>
      <w:marRight w:val="0"/>
      <w:marTop w:val="0"/>
      <w:marBottom w:val="0"/>
      <w:divBdr>
        <w:top w:val="none" w:sz="0" w:space="0" w:color="auto"/>
        <w:left w:val="none" w:sz="0" w:space="0" w:color="auto"/>
        <w:bottom w:val="none" w:sz="0" w:space="0" w:color="auto"/>
        <w:right w:val="none" w:sz="0" w:space="0" w:color="auto"/>
      </w:divBdr>
      <w:divsChild>
        <w:div w:id="41103459">
          <w:marLeft w:val="547"/>
          <w:marRight w:val="0"/>
          <w:marTop w:val="0"/>
          <w:marBottom w:val="0"/>
          <w:divBdr>
            <w:top w:val="none" w:sz="0" w:space="0" w:color="auto"/>
            <w:left w:val="none" w:sz="0" w:space="0" w:color="auto"/>
            <w:bottom w:val="none" w:sz="0" w:space="0" w:color="auto"/>
            <w:right w:val="none" w:sz="0" w:space="0" w:color="auto"/>
          </w:divBdr>
        </w:div>
      </w:divsChild>
    </w:div>
    <w:div w:id="1568177840">
      <w:bodyDiv w:val="1"/>
      <w:marLeft w:val="0"/>
      <w:marRight w:val="0"/>
      <w:marTop w:val="0"/>
      <w:marBottom w:val="0"/>
      <w:divBdr>
        <w:top w:val="none" w:sz="0" w:space="0" w:color="auto"/>
        <w:left w:val="none" w:sz="0" w:space="0" w:color="auto"/>
        <w:bottom w:val="none" w:sz="0" w:space="0" w:color="auto"/>
        <w:right w:val="none" w:sz="0" w:space="0" w:color="auto"/>
      </w:divBdr>
    </w:div>
    <w:div w:id="1587153296">
      <w:bodyDiv w:val="1"/>
      <w:marLeft w:val="0"/>
      <w:marRight w:val="0"/>
      <w:marTop w:val="0"/>
      <w:marBottom w:val="0"/>
      <w:divBdr>
        <w:top w:val="none" w:sz="0" w:space="0" w:color="auto"/>
        <w:left w:val="none" w:sz="0" w:space="0" w:color="auto"/>
        <w:bottom w:val="none" w:sz="0" w:space="0" w:color="auto"/>
        <w:right w:val="none" w:sz="0" w:space="0" w:color="auto"/>
      </w:divBdr>
      <w:divsChild>
        <w:div w:id="1831680190">
          <w:marLeft w:val="0"/>
          <w:marRight w:val="0"/>
          <w:marTop w:val="0"/>
          <w:marBottom w:val="0"/>
          <w:divBdr>
            <w:top w:val="none" w:sz="0" w:space="0" w:color="auto"/>
            <w:left w:val="none" w:sz="0" w:space="0" w:color="auto"/>
            <w:bottom w:val="none" w:sz="0" w:space="0" w:color="auto"/>
            <w:right w:val="none" w:sz="0" w:space="0" w:color="auto"/>
          </w:divBdr>
          <w:divsChild>
            <w:div w:id="438379802">
              <w:marLeft w:val="0"/>
              <w:marRight w:val="0"/>
              <w:marTop w:val="0"/>
              <w:marBottom w:val="0"/>
              <w:divBdr>
                <w:top w:val="none" w:sz="0" w:space="0" w:color="auto"/>
                <w:left w:val="none" w:sz="0" w:space="0" w:color="auto"/>
                <w:bottom w:val="none" w:sz="0" w:space="0" w:color="auto"/>
                <w:right w:val="none" w:sz="0" w:space="0" w:color="auto"/>
              </w:divBdr>
              <w:divsChild>
                <w:div w:id="19710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36797">
      <w:bodyDiv w:val="1"/>
      <w:marLeft w:val="0"/>
      <w:marRight w:val="0"/>
      <w:marTop w:val="0"/>
      <w:marBottom w:val="0"/>
      <w:divBdr>
        <w:top w:val="none" w:sz="0" w:space="0" w:color="auto"/>
        <w:left w:val="none" w:sz="0" w:space="0" w:color="auto"/>
        <w:bottom w:val="none" w:sz="0" w:space="0" w:color="auto"/>
        <w:right w:val="none" w:sz="0" w:space="0" w:color="auto"/>
      </w:divBdr>
    </w:div>
    <w:div w:id="1672829295">
      <w:bodyDiv w:val="1"/>
      <w:marLeft w:val="0"/>
      <w:marRight w:val="0"/>
      <w:marTop w:val="0"/>
      <w:marBottom w:val="0"/>
      <w:divBdr>
        <w:top w:val="none" w:sz="0" w:space="0" w:color="auto"/>
        <w:left w:val="none" w:sz="0" w:space="0" w:color="auto"/>
        <w:bottom w:val="none" w:sz="0" w:space="0" w:color="auto"/>
        <w:right w:val="none" w:sz="0" w:space="0" w:color="auto"/>
      </w:divBdr>
    </w:div>
    <w:div w:id="1727947658">
      <w:bodyDiv w:val="1"/>
      <w:marLeft w:val="0"/>
      <w:marRight w:val="0"/>
      <w:marTop w:val="0"/>
      <w:marBottom w:val="0"/>
      <w:divBdr>
        <w:top w:val="none" w:sz="0" w:space="0" w:color="auto"/>
        <w:left w:val="none" w:sz="0" w:space="0" w:color="auto"/>
        <w:bottom w:val="none" w:sz="0" w:space="0" w:color="auto"/>
        <w:right w:val="none" w:sz="0" w:space="0" w:color="auto"/>
      </w:divBdr>
    </w:div>
    <w:div w:id="1729767156">
      <w:bodyDiv w:val="1"/>
      <w:marLeft w:val="0"/>
      <w:marRight w:val="0"/>
      <w:marTop w:val="0"/>
      <w:marBottom w:val="0"/>
      <w:divBdr>
        <w:top w:val="none" w:sz="0" w:space="0" w:color="auto"/>
        <w:left w:val="none" w:sz="0" w:space="0" w:color="auto"/>
        <w:bottom w:val="none" w:sz="0" w:space="0" w:color="auto"/>
        <w:right w:val="none" w:sz="0" w:space="0" w:color="auto"/>
      </w:divBdr>
    </w:div>
    <w:div w:id="1772823503">
      <w:bodyDiv w:val="1"/>
      <w:marLeft w:val="0"/>
      <w:marRight w:val="0"/>
      <w:marTop w:val="0"/>
      <w:marBottom w:val="0"/>
      <w:divBdr>
        <w:top w:val="none" w:sz="0" w:space="0" w:color="auto"/>
        <w:left w:val="none" w:sz="0" w:space="0" w:color="auto"/>
        <w:bottom w:val="none" w:sz="0" w:space="0" w:color="auto"/>
        <w:right w:val="none" w:sz="0" w:space="0" w:color="auto"/>
      </w:divBdr>
    </w:div>
    <w:div w:id="1802262479">
      <w:bodyDiv w:val="1"/>
      <w:marLeft w:val="0"/>
      <w:marRight w:val="0"/>
      <w:marTop w:val="0"/>
      <w:marBottom w:val="0"/>
      <w:divBdr>
        <w:top w:val="none" w:sz="0" w:space="0" w:color="auto"/>
        <w:left w:val="none" w:sz="0" w:space="0" w:color="auto"/>
        <w:bottom w:val="none" w:sz="0" w:space="0" w:color="auto"/>
        <w:right w:val="none" w:sz="0" w:space="0" w:color="auto"/>
      </w:divBdr>
    </w:div>
    <w:div w:id="1828785356">
      <w:bodyDiv w:val="1"/>
      <w:marLeft w:val="0"/>
      <w:marRight w:val="0"/>
      <w:marTop w:val="0"/>
      <w:marBottom w:val="0"/>
      <w:divBdr>
        <w:top w:val="none" w:sz="0" w:space="0" w:color="auto"/>
        <w:left w:val="none" w:sz="0" w:space="0" w:color="auto"/>
        <w:bottom w:val="none" w:sz="0" w:space="0" w:color="auto"/>
        <w:right w:val="none" w:sz="0" w:space="0" w:color="auto"/>
      </w:divBdr>
    </w:div>
    <w:div w:id="1882135588">
      <w:bodyDiv w:val="1"/>
      <w:marLeft w:val="0"/>
      <w:marRight w:val="0"/>
      <w:marTop w:val="0"/>
      <w:marBottom w:val="0"/>
      <w:divBdr>
        <w:top w:val="none" w:sz="0" w:space="0" w:color="auto"/>
        <w:left w:val="none" w:sz="0" w:space="0" w:color="auto"/>
        <w:bottom w:val="none" w:sz="0" w:space="0" w:color="auto"/>
        <w:right w:val="none" w:sz="0" w:space="0" w:color="auto"/>
      </w:divBdr>
    </w:div>
    <w:div w:id="1900894098">
      <w:bodyDiv w:val="1"/>
      <w:marLeft w:val="0"/>
      <w:marRight w:val="0"/>
      <w:marTop w:val="0"/>
      <w:marBottom w:val="0"/>
      <w:divBdr>
        <w:top w:val="none" w:sz="0" w:space="0" w:color="auto"/>
        <w:left w:val="none" w:sz="0" w:space="0" w:color="auto"/>
        <w:bottom w:val="none" w:sz="0" w:space="0" w:color="auto"/>
        <w:right w:val="none" w:sz="0" w:space="0" w:color="auto"/>
      </w:divBdr>
    </w:div>
    <w:div w:id="1947153132">
      <w:bodyDiv w:val="1"/>
      <w:marLeft w:val="0"/>
      <w:marRight w:val="0"/>
      <w:marTop w:val="0"/>
      <w:marBottom w:val="0"/>
      <w:divBdr>
        <w:top w:val="none" w:sz="0" w:space="0" w:color="auto"/>
        <w:left w:val="none" w:sz="0" w:space="0" w:color="auto"/>
        <w:bottom w:val="none" w:sz="0" w:space="0" w:color="auto"/>
        <w:right w:val="none" w:sz="0" w:space="0" w:color="auto"/>
      </w:divBdr>
    </w:div>
    <w:div w:id="1970817821">
      <w:bodyDiv w:val="1"/>
      <w:marLeft w:val="0"/>
      <w:marRight w:val="0"/>
      <w:marTop w:val="0"/>
      <w:marBottom w:val="0"/>
      <w:divBdr>
        <w:top w:val="none" w:sz="0" w:space="0" w:color="auto"/>
        <w:left w:val="none" w:sz="0" w:space="0" w:color="auto"/>
        <w:bottom w:val="none" w:sz="0" w:space="0" w:color="auto"/>
        <w:right w:val="none" w:sz="0" w:space="0" w:color="auto"/>
      </w:divBdr>
    </w:div>
    <w:div w:id="2030834630">
      <w:bodyDiv w:val="1"/>
      <w:marLeft w:val="0"/>
      <w:marRight w:val="0"/>
      <w:marTop w:val="0"/>
      <w:marBottom w:val="0"/>
      <w:divBdr>
        <w:top w:val="none" w:sz="0" w:space="0" w:color="auto"/>
        <w:left w:val="none" w:sz="0" w:space="0" w:color="auto"/>
        <w:bottom w:val="none" w:sz="0" w:space="0" w:color="auto"/>
        <w:right w:val="none" w:sz="0" w:space="0" w:color="auto"/>
      </w:divBdr>
    </w:div>
    <w:div w:id="20987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fiser\Downloads\NACCA%20Impact%20model%202022\SocEcon%20Impact%20Models\NACCA_Dataset_Descriptives_Apr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iser\Downloads\NACCA%20Impact%20model%202022\SocEcon%20Impact%20Models\NACCA_Dataset_Descriptives_Apr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iser\Downloads\NACCA%20Impact%20model%202022\SocEcon%20Impact%20Models\NACCA_EconImpacts_SummaryToClient_2022-03-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iser\Downloads\NACCA%20Impact%20model%202022\SocEcon%20Impact%20Models\NACCA_EconImpacts_SummaryToClient_2022-03-2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fiser\Downloads\NACCA%20Impact%20model%202022\SocEcon%20Impact%20Models\NACCA_EconImpacts_SummaryToClient_2022-03-2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NACCA%202023%20files\DirectImpacts_5yrsOffReserveV2_April20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NACCA%202023%20files\DirectImpacts_5yrsOffReserveV2_April20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NACCA%202023%20files\DirectImpacts_5yrsOffReserveV2_April20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NACCA%202023%20files\DirectImpacts_5yrsOffReserveV2_April202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EA-4663-A7C2-721F658B4A1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EA-4663-A7C2-721F658B4A1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8EA-4663-A7C2-721F658B4A1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8EA-4663-A7C2-721F658B4A1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8EA-4663-A7C2-721F658B4A1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8EA-4663-A7C2-721F658B4A1C}"/>
              </c:ext>
            </c:extLst>
          </c:dPt>
          <c:dLbls>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B8EA-4663-A7C2-721F658B4A1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PivotAnalysis!$H$165:$H$170</c:f>
              <c:strCache>
                <c:ptCount val="6"/>
                <c:pt idx="0">
                  <c:v>Retail trade</c:v>
                </c:pt>
                <c:pt idx="1">
                  <c:v>Agriculture, forestry, fishing and hunting</c:v>
                </c:pt>
                <c:pt idx="2">
                  <c:v>Accommodation and food services</c:v>
                </c:pt>
                <c:pt idx="3">
                  <c:v>Construction</c:v>
                </c:pt>
                <c:pt idx="4">
                  <c:v>Transportation and warehousing</c:v>
                </c:pt>
                <c:pt idx="5">
                  <c:v>Other</c:v>
                </c:pt>
              </c:strCache>
            </c:strRef>
          </c:cat>
          <c:val>
            <c:numRef>
              <c:f>PivotAnalysis!$K$165:$K$170</c:f>
              <c:numCache>
                <c:formatCode>0%</c:formatCode>
                <c:ptCount val="6"/>
                <c:pt idx="0">
                  <c:v>0.19030115464414743</c:v>
                </c:pt>
                <c:pt idx="1">
                  <c:v>0.18733053048808976</c:v>
                </c:pt>
                <c:pt idx="2">
                  <c:v>0.11915578204414425</c:v>
                </c:pt>
                <c:pt idx="3">
                  <c:v>0.10441379214776057</c:v>
                </c:pt>
                <c:pt idx="4">
                  <c:v>8.3282261058373719E-2</c:v>
                </c:pt>
                <c:pt idx="5">
                  <c:v>0.3155164796174843</c:v>
                </c:pt>
              </c:numCache>
            </c:numRef>
          </c:val>
          <c:extLst>
            <c:ext xmlns:c16="http://schemas.microsoft.com/office/drawing/2014/chart" uri="{C3380CC4-5D6E-409C-BE32-E72D297353CC}">
              <c16:uniqueId val="{0000000C-B8EA-4663-A7C2-721F658B4A1C}"/>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Total invested (nominal)</c:v>
          </c:tx>
          <c:spPr>
            <a:solidFill>
              <a:schemeClr val="accent1"/>
            </a:solidFill>
            <a:ln>
              <a:noFill/>
            </a:ln>
            <a:effectLst/>
          </c:spPr>
          <c:invertIfNegative val="0"/>
          <c:cat>
            <c:strRef>
              <c:f>PivotAnalysis!$H$165:$H$169</c:f>
              <c:strCache>
                <c:ptCount val="5"/>
                <c:pt idx="0">
                  <c:v>Retail trade</c:v>
                </c:pt>
                <c:pt idx="1">
                  <c:v>Agriculture, forestry, fishing and hunting</c:v>
                </c:pt>
                <c:pt idx="2">
                  <c:v>Accommodation and food services</c:v>
                </c:pt>
                <c:pt idx="3">
                  <c:v>Construction</c:v>
                </c:pt>
                <c:pt idx="4">
                  <c:v>Transportation and warehousing</c:v>
                </c:pt>
              </c:strCache>
            </c:strRef>
          </c:cat>
          <c:val>
            <c:numRef>
              <c:f>PivotAnalysis!$I$165:$I$169</c:f>
              <c:numCache>
                <c:formatCode>"$"#,##0</c:formatCode>
                <c:ptCount val="5"/>
                <c:pt idx="0">
                  <c:v>151400514.19</c:v>
                </c:pt>
                <c:pt idx="1">
                  <c:v>149037133.76000008</c:v>
                </c:pt>
                <c:pt idx="2">
                  <c:v>94798408.889999986</c:v>
                </c:pt>
                <c:pt idx="3">
                  <c:v>83069920.670000032</c:v>
                </c:pt>
                <c:pt idx="4">
                  <c:v>66258017.039999999</c:v>
                </c:pt>
              </c:numCache>
            </c:numRef>
          </c:val>
          <c:extLst>
            <c:ext xmlns:c16="http://schemas.microsoft.com/office/drawing/2014/chart" uri="{C3380CC4-5D6E-409C-BE32-E72D297353CC}">
              <c16:uniqueId val="{00000000-CA72-43F1-A1DA-E2D9798E9CC8}"/>
            </c:ext>
          </c:extLst>
        </c:ser>
        <c:dLbls>
          <c:showLegendKey val="0"/>
          <c:showVal val="0"/>
          <c:showCatName val="0"/>
          <c:showSerName val="0"/>
          <c:showPercent val="0"/>
          <c:showBubbleSize val="0"/>
        </c:dLbls>
        <c:gapWidth val="219"/>
        <c:overlap val="-27"/>
        <c:axId val="962272816"/>
        <c:axId val="962273648"/>
      </c:barChart>
      <c:catAx>
        <c:axId val="96227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273648"/>
        <c:crosses val="autoZero"/>
        <c:auto val="1"/>
        <c:lblAlgn val="ctr"/>
        <c:lblOffset val="100"/>
        <c:noMultiLvlLbl val="0"/>
      </c:catAx>
      <c:valAx>
        <c:axId val="962273648"/>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272816"/>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Summary!$C$38</c:f>
              <c:strCache>
                <c:ptCount val="1"/>
                <c:pt idx="0">
                  <c:v>GDP at basic prices (000s)</c:v>
                </c:pt>
              </c:strCache>
            </c:strRef>
          </c:tx>
          <c:spPr>
            <a:solidFill>
              <a:schemeClr val="accent1"/>
            </a:solidFill>
            <a:ln>
              <a:noFill/>
            </a:ln>
            <a:effectLst/>
          </c:spPr>
          <c:invertIfNegative val="0"/>
          <c:cat>
            <c:strRef>
              <c:f>Summary!$D$37:$H$37</c:f>
              <c:strCache>
                <c:ptCount val="5"/>
                <c:pt idx="0">
                  <c:v>2016-17</c:v>
                </c:pt>
                <c:pt idx="1">
                  <c:v>2017-18</c:v>
                </c:pt>
                <c:pt idx="2">
                  <c:v>2018-19</c:v>
                </c:pt>
                <c:pt idx="3">
                  <c:v>2019-20</c:v>
                </c:pt>
                <c:pt idx="4">
                  <c:v>2020-21</c:v>
                </c:pt>
              </c:strCache>
            </c:strRef>
          </c:cat>
          <c:val>
            <c:numRef>
              <c:f>Summary!$D$38:$H$38</c:f>
              <c:numCache>
                <c:formatCode>"$"#,##0</c:formatCode>
                <c:ptCount val="5"/>
                <c:pt idx="0">
                  <c:v>187713319.06972018</c:v>
                </c:pt>
                <c:pt idx="1">
                  <c:v>177040492.26898938</c:v>
                </c:pt>
                <c:pt idx="2">
                  <c:v>188422306.07523832</c:v>
                </c:pt>
                <c:pt idx="3">
                  <c:v>167556095.37795565</c:v>
                </c:pt>
                <c:pt idx="4">
                  <c:v>155841642.97025576</c:v>
                </c:pt>
              </c:numCache>
            </c:numRef>
          </c:val>
          <c:extLst>
            <c:ext xmlns:c16="http://schemas.microsoft.com/office/drawing/2014/chart" uri="{C3380CC4-5D6E-409C-BE32-E72D297353CC}">
              <c16:uniqueId val="{00000000-0788-4CEF-B0F6-9576821894D6}"/>
            </c:ext>
          </c:extLst>
        </c:ser>
        <c:dLbls>
          <c:showLegendKey val="0"/>
          <c:showVal val="0"/>
          <c:showCatName val="0"/>
          <c:showSerName val="0"/>
          <c:showPercent val="0"/>
          <c:showBubbleSize val="0"/>
        </c:dLbls>
        <c:gapWidth val="219"/>
        <c:overlap val="-27"/>
        <c:axId val="1692401567"/>
        <c:axId val="1692408223"/>
      </c:barChart>
      <c:catAx>
        <c:axId val="1692401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2408223"/>
        <c:crosses val="autoZero"/>
        <c:auto val="1"/>
        <c:lblAlgn val="ctr"/>
        <c:lblOffset val="100"/>
        <c:noMultiLvlLbl val="0"/>
      </c:catAx>
      <c:valAx>
        <c:axId val="1692408223"/>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2401567"/>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Summary!$C$39</c:f>
              <c:strCache>
                <c:ptCount val="1"/>
                <c:pt idx="0">
                  <c:v>Jobs (Full time equivalent)</c:v>
                </c:pt>
              </c:strCache>
            </c:strRef>
          </c:tx>
          <c:spPr>
            <a:solidFill>
              <a:schemeClr val="accent1"/>
            </a:solidFill>
            <a:ln>
              <a:noFill/>
            </a:ln>
            <a:effectLst/>
          </c:spPr>
          <c:invertIfNegative val="0"/>
          <c:cat>
            <c:strRef>
              <c:f>Summary!$D$37:$H$37</c:f>
              <c:strCache>
                <c:ptCount val="5"/>
                <c:pt idx="0">
                  <c:v>2016-17</c:v>
                </c:pt>
                <c:pt idx="1">
                  <c:v>2017-18</c:v>
                </c:pt>
                <c:pt idx="2">
                  <c:v>2018-19</c:v>
                </c:pt>
                <c:pt idx="3">
                  <c:v>2019-20</c:v>
                </c:pt>
                <c:pt idx="4">
                  <c:v>2020-21</c:v>
                </c:pt>
              </c:strCache>
            </c:strRef>
          </c:cat>
          <c:val>
            <c:numRef>
              <c:f>Summary!$D$39:$H$39</c:f>
              <c:numCache>
                <c:formatCode>0</c:formatCode>
                <c:ptCount val="5"/>
                <c:pt idx="0">
                  <c:v>2673.151815451969</c:v>
                </c:pt>
                <c:pt idx="1">
                  <c:v>2471.5223122491907</c:v>
                </c:pt>
                <c:pt idx="2">
                  <c:v>2537.1372107541511</c:v>
                </c:pt>
                <c:pt idx="3">
                  <c:v>2316.8746817259544</c:v>
                </c:pt>
                <c:pt idx="4">
                  <c:v>2130.6397405049293</c:v>
                </c:pt>
              </c:numCache>
            </c:numRef>
          </c:val>
          <c:extLst>
            <c:ext xmlns:c16="http://schemas.microsoft.com/office/drawing/2014/chart" uri="{C3380CC4-5D6E-409C-BE32-E72D297353CC}">
              <c16:uniqueId val="{00000000-79C5-468B-B8FB-BE78D42D9989}"/>
            </c:ext>
          </c:extLst>
        </c:ser>
        <c:dLbls>
          <c:showLegendKey val="0"/>
          <c:showVal val="0"/>
          <c:showCatName val="0"/>
          <c:showSerName val="0"/>
          <c:showPercent val="0"/>
          <c:showBubbleSize val="0"/>
        </c:dLbls>
        <c:gapWidth val="219"/>
        <c:overlap val="-27"/>
        <c:axId val="1692416543"/>
        <c:axId val="1692399071"/>
      </c:barChart>
      <c:catAx>
        <c:axId val="1692416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2399071"/>
        <c:crosses val="autoZero"/>
        <c:auto val="1"/>
        <c:lblAlgn val="ctr"/>
        <c:lblOffset val="100"/>
        <c:noMultiLvlLbl val="0"/>
      </c:catAx>
      <c:valAx>
        <c:axId val="16923990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24165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Summary!$C$40</c:f>
              <c:strCache>
                <c:ptCount val="1"/>
                <c:pt idx="0">
                  <c:v>Labour income (000s)</c:v>
                </c:pt>
              </c:strCache>
            </c:strRef>
          </c:tx>
          <c:spPr>
            <a:solidFill>
              <a:schemeClr val="accent1"/>
            </a:solidFill>
            <a:ln>
              <a:noFill/>
            </a:ln>
            <a:effectLst/>
          </c:spPr>
          <c:invertIfNegative val="0"/>
          <c:cat>
            <c:strRef>
              <c:f>Summary!$D$37:$H$37</c:f>
              <c:strCache>
                <c:ptCount val="5"/>
                <c:pt idx="0">
                  <c:v>2016-17</c:v>
                </c:pt>
                <c:pt idx="1">
                  <c:v>2017-18</c:v>
                </c:pt>
                <c:pt idx="2">
                  <c:v>2018-19</c:v>
                </c:pt>
                <c:pt idx="3">
                  <c:v>2019-20</c:v>
                </c:pt>
                <c:pt idx="4">
                  <c:v>2020-21</c:v>
                </c:pt>
              </c:strCache>
            </c:strRef>
          </c:cat>
          <c:val>
            <c:numRef>
              <c:f>Summary!$D$40:$I$40</c:f>
              <c:numCache>
                <c:formatCode>"$"#,##0</c:formatCode>
                <c:ptCount val="6"/>
                <c:pt idx="0">
                  <c:v>112010939.45696338</c:v>
                </c:pt>
                <c:pt idx="1">
                  <c:v>104577679.50062166</c:v>
                </c:pt>
                <c:pt idx="2">
                  <c:v>110784647.95981921</c:v>
                </c:pt>
                <c:pt idx="3">
                  <c:v>97658599.762094676</c:v>
                </c:pt>
                <c:pt idx="4">
                  <c:v>89808437.794680715</c:v>
                </c:pt>
                <c:pt idx="5">
                  <c:v>102968060.89483592</c:v>
                </c:pt>
              </c:numCache>
            </c:numRef>
          </c:val>
          <c:extLst>
            <c:ext xmlns:c16="http://schemas.microsoft.com/office/drawing/2014/chart" uri="{C3380CC4-5D6E-409C-BE32-E72D297353CC}">
              <c16:uniqueId val="{00000000-A78F-40CE-A404-3E84DA7AFE6A}"/>
            </c:ext>
          </c:extLst>
        </c:ser>
        <c:dLbls>
          <c:showLegendKey val="0"/>
          <c:showVal val="0"/>
          <c:showCatName val="0"/>
          <c:showSerName val="0"/>
          <c:showPercent val="0"/>
          <c:showBubbleSize val="0"/>
        </c:dLbls>
        <c:gapWidth val="219"/>
        <c:overlap val="-27"/>
        <c:axId val="1692471871"/>
        <c:axId val="1692451071"/>
      </c:barChart>
      <c:catAx>
        <c:axId val="1692471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2451071"/>
        <c:crosses val="autoZero"/>
        <c:auto val="1"/>
        <c:lblAlgn val="ctr"/>
        <c:lblOffset val="100"/>
        <c:noMultiLvlLbl val="0"/>
      </c:catAx>
      <c:valAx>
        <c:axId val="1692451071"/>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2471871"/>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Charts!$J$13</c:f>
              <c:strCache>
                <c:ptCount val="1"/>
                <c:pt idx="0">
                  <c:v>Average AFI-Driven Direct FTE</c:v>
                </c:pt>
              </c:strCache>
            </c:strRef>
          </c:tx>
          <c:spPr>
            <a:solidFill>
              <a:schemeClr val="accent1"/>
            </a:solidFill>
            <a:ln>
              <a:noFill/>
            </a:ln>
            <a:effectLst/>
          </c:spPr>
          <c:invertIfNegative val="0"/>
          <c:cat>
            <c:strRef>
              <c:f>Charts!$K$12:$L$12</c:f>
              <c:strCache>
                <c:ptCount val="2"/>
                <c:pt idx="0">
                  <c:v>Medium or High Food Security</c:v>
                </c:pt>
                <c:pt idx="1">
                  <c:v>Low to Very Low Food Security</c:v>
                </c:pt>
              </c:strCache>
            </c:strRef>
          </c:cat>
          <c:val>
            <c:numRef>
              <c:f>Charts!$K$13:$L$13</c:f>
              <c:numCache>
                <c:formatCode>0%</c:formatCode>
                <c:ptCount val="2"/>
                <c:pt idx="0">
                  <c:v>0.75415756477308338</c:v>
                </c:pt>
                <c:pt idx="1">
                  <c:v>0.24584243522691657</c:v>
                </c:pt>
              </c:numCache>
            </c:numRef>
          </c:val>
          <c:extLst>
            <c:ext xmlns:c16="http://schemas.microsoft.com/office/drawing/2014/chart" uri="{C3380CC4-5D6E-409C-BE32-E72D297353CC}">
              <c16:uniqueId val="{00000000-199B-4FBB-8651-F0C9F3409A56}"/>
            </c:ext>
          </c:extLst>
        </c:ser>
        <c:ser>
          <c:idx val="1"/>
          <c:order val="1"/>
          <c:tx>
            <c:strRef>
              <c:f>Charts!$J$14</c:f>
              <c:strCache>
                <c:ptCount val="1"/>
                <c:pt idx="0">
                  <c:v>Average Unemployed Indigenous Counterpart (Off-reserve)</c:v>
                </c:pt>
              </c:strCache>
            </c:strRef>
          </c:tx>
          <c:spPr>
            <a:solidFill>
              <a:schemeClr val="accent2"/>
            </a:solidFill>
            <a:ln>
              <a:noFill/>
            </a:ln>
            <a:effectLst/>
          </c:spPr>
          <c:invertIfNegative val="0"/>
          <c:cat>
            <c:strRef>
              <c:f>Charts!$K$12:$L$12</c:f>
              <c:strCache>
                <c:ptCount val="2"/>
                <c:pt idx="0">
                  <c:v>Medium or High Food Security</c:v>
                </c:pt>
                <c:pt idx="1">
                  <c:v>Low to Very Low Food Security</c:v>
                </c:pt>
              </c:strCache>
            </c:strRef>
          </c:cat>
          <c:val>
            <c:numRef>
              <c:f>Charts!$K$14:$L$14</c:f>
              <c:numCache>
                <c:formatCode>0%</c:formatCode>
                <c:ptCount val="2"/>
                <c:pt idx="0">
                  <c:v>0.59009999999999996</c:v>
                </c:pt>
                <c:pt idx="1">
                  <c:v>0.40540999999999999</c:v>
                </c:pt>
              </c:numCache>
            </c:numRef>
          </c:val>
          <c:extLst>
            <c:ext xmlns:c16="http://schemas.microsoft.com/office/drawing/2014/chart" uri="{C3380CC4-5D6E-409C-BE32-E72D297353CC}">
              <c16:uniqueId val="{00000001-199B-4FBB-8651-F0C9F3409A56}"/>
            </c:ext>
          </c:extLst>
        </c:ser>
        <c:dLbls>
          <c:showLegendKey val="0"/>
          <c:showVal val="0"/>
          <c:showCatName val="0"/>
          <c:showSerName val="0"/>
          <c:showPercent val="0"/>
          <c:showBubbleSize val="0"/>
        </c:dLbls>
        <c:gapWidth val="219"/>
        <c:overlap val="-27"/>
        <c:axId val="2025040431"/>
        <c:axId val="2025040911"/>
      </c:barChart>
      <c:catAx>
        <c:axId val="2025040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040911"/>
        <c:crosses val="autoZero"/>
        <c:auto val="1"/>
        <c:lblAlgn val="ctr"/>
        <c:lblOffset val="100"/>
        <c:noMultiLvlLbl val="0"/>
      </c:catAx>
      <c:valAx>
        <c:axId val="20250409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040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Charts!$J$26</c:f>
              <c:strCache>
                <c:ptCount val="1"/>
                <c:pt idx="0">
                  <c:v>Average AFI-Driven Direct FTE</c:v>
                </c:pt>
              </c:strCache>
            </c:strRef>
          </c:tx>
          <c:spPr>
            <a:solidFill>
              <a:schemeClr val="accent1"/>
            </a:solidFill>
            <a:ln>
              <a:noFill/>
            </a:ln>
            <a:effectLst/>
          </c:spPr>
          <c:invertIfNegative val="0"/>
          <c:cat>
            <c:strRef>
              <c:f>Charts!$K$25:$L$25</c:f>
              <c:strCache>
                <c:ptCount val="2"/>
                <c:pt idx="0">
                  <c:v>Good to Excellent Health Status</c:v>
                </c:pt>
                <c:pt idx="1">
                  <c:v>Less than Good Health Status</c:v>
                </c:pt>
              </c:strCache>
            </c:strRef>
          </c:cat>
          <c:val>
            <c:numRef>
              <c:f>Charts!$K$26:$L$26</c:f>
              <c:numCache>
                <c:formatCode>0%</c:formatCode>
                <c:ptCount val="2"/>
                <c:pt idx="0">
                  <c:v>0.86397850198307236</c:v>
                </c:pt>
                <c:pt idx="1">
                  <c:v>0.13602149801692773</c:v>
                </c:pt>
              </c:numCache>
            </c:numRef>
          </c:val>
          <c:extLst>
            <c:ext xmlns:c16="http://schemas.microsoft.com/office/drawing/2014/chart" uri="{C3380CC4-5D6E-409C-BE32-E72D297353CC}">
              <c16:uniqueId val="{00000000-A5F4-4F24-BB80-38BEE256F11D}"/>
            </c:ext>
          </c:extLst>
        </c:ser>
        <c:ser>
          <c:idx val="1"/>
          <c:order val="1"/>
          <c:tx>
            <c:strRef>
              <c:f>Charts!$J$27</c:f>
              <c:strCache>
                <c:ptCount val="1"/>
                <c:pt idx="0">
                  <c:v>Average Unemployed Indigenous Counterpart (Off-reserve)</c:v>
                </c:pt>
              </c:strCache>
            </c:strRef>
          </c:tx>
          <c:spPr>
            <a:solidFill>
              <a:schemeClr val="accent2"/>
            </a:solidFill>
            <a:ln>
              <a:noFill/>
            </a:ln>
            <a:effectLst/>
          </c:spPr>
          <c:invertIfNegative val="0"/>
          <c:cat>
            <c:strRef>
              <c:f>Charts!$K$25:$L$25</c:f>
              <c:strCache>
                <c:ptCount val="2"/>
                <c:pt idx="0">
                  <c:v>Good to Excellent Health Status</c:v>
                </c:pt>
                <c:pt idx="1">
                  <c:v>Less than Good Health Status</c:v>
                </c:pt>
              </c:strCache>
            </c:strRef>
          </c:cat>
          <c:val>
            <c:numRef>
              <c:f>Charts!$K$27:$L$27</c:f>
              <c:numCache>
                <c:formatCode>0%</c:formatCode>
                <c:ptCount val="2"/>
                <c:pt idx="0">
                  <c:v>0.70779999999999998</c:v>
                </c:pt>
                <c:pt idx="1">
                  <c:v>0.29220000000000002</c:v>
                </c:pt>
              </c:numCache>
            </c:numRef>
          </c:val>
          <c:extLst>
            <c:ext xmlns:c16="http://schemas.microsoft.com/office/drawing/2014/chart" uri="{C3380CC4-5D6E-409C-BE32-E72D297353CC}">
              <c16:uniqueId val="{00000001-A5F4-4F24-BB80-38BEE256F11D}"/>
            </c:ext>
          </c:extLst>
        </c:ser>
        <c:dLbls>
          <c:showLegendKey val="0"/>
          <c:showVal val="0"/>
          <c:showCatName val="0"/>
          <c:showSerName val="0"/>
          <c:showPercent val="0"/>
          <c:showBubbleSize val="0"/>
        </c:dLbls>
        <c:gapWidth val="219"/>
        <c:overlap val="-27"/>
        <c:axId val="1355202527"/>
        <c:axId val="1355203967"/>
      </c:barChart>
      <c:catAx>
        <c:axId val="1355202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203967"/>
        <c:crosses val="autoZero"/>
        <c:auto val="1"/>
        <c:lblAlgn val="ctr"/>
        <c:lblOffset val="100"/>
        <c:noMultiLvlLbl val="0"/>
      </c:catAx>
      <c:valAx>
        <c:axId val="13552039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202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Charts!$J$40</c:f>
              <c:strCache>
                <c:ptCount val="1"/>
                <c:pt idx="0">
                  <c:v>Average AFI-Driven Direct FTE</c:v>
                </c:pt>
              </c:strCache>
            </c:strRef>
          </c:tx>
          <c:spPr>
            <a:solidFill>
              <a:schemeClr val="accent1"/>
            </a:solidFill>
            <a:ln>
              <a:noFill/>
            </a:ln>
            <a:effectLst/>
          </c:spPr>
          <c:invertIfNegative val="0"/>
          <c:cat>
            <c:strRef>
              <c:f>Charts!$K$39:$L$39</c:f>
              <c:strCache>
                <c:ptCount val="2"/>
                <c:pt idx="0">
                  <c:v>Good to Excellent Mental Health Status</c:v>
                </c:pt>
                <c:pt idx="1">
                  <c:v>Less than Good Health Status</c:v>
                </c:pt>
              </c:strCache>
            </c:strRef>
          </c:cat>
          <c:val>
            <c:numRef>
              <c:f>Charts!$K$40:$L$40</c:f>
              <c:numCache>
                <c:formatCode>0%</c:formatCode>
                <c:ptCount val="2"/>
                <c:pt idx="0">
                  <c:v>0.87438596216560482</c:v>
                </c:pt>
                <c:pt idx="1">
                  <c:v>0.12561403783439529</c:v>
                </c:pt>
              </c:numCache>
            </c:numRef>
          </c:val>
          <c:extLst>
            <c:ext xmlns:c16="http://schemas.microsoft.com/office/drawing/2014/chart" uri="{C3380CC4-5D6E-409C-BE32-E72D297353CC}">
              <c16:uniqueId val="{00000000-E46C-47FB-860A-A398C37B2596}"/>
            </c:ext>
          </c:extLst>
        </c:ser>
        <c:ser>
          <c:idx val="1"/>
          <c:order val="1"/>
          <c:tx>
            <c:strRef>
              <c:f>Charts!$J$41</c:f>
              <c:strCache>
                <c:ptCount val="1"/>
                <c:pt idx="0">
                  <c:v>Average Unemployed Indigenous Counterpart (Off-reserve)</c:v>
                </c:pt>
              </c:strCache>
            </c:strRef>
          </c:tx>
          <c:spPr>
            <a:solidFill>
              <a:schemeClr val="accent2"/>
            </a:solidFill>
            <a:ln>
              <a:noFill/>
            </a:ln>
            <a:effectLst/>
          </c:spPr>
          <c:invertIfNegative val="0"/>
          <c:cat>
            <c:strRef>
              <c:f>Charts!$K$39:$L$39</c:f>
              <c:strCache>
                <c:ptCount val="2"/>
                <c:pt idx="0">
                  <c:v>Good to Excellent Mental Health Status</c:v>
                </c:pt>
                <c:pt idx="1">
                  <c:v>Less than Good Health Status</c:v>
                </c:pt>
              </c:strCache>
            </c:strRef>
          </c:cat>
          <c:val>
            <c:numRef>
              <c:f>Charts!$K$41:$L$41</c:f>
              <c:numCache>
                <c:formatCode>0%</c:formatCode>
                <c:ptCount val="2"/>
                <c:pt idx="0">
                  <c:v>0.73510000000000009</c:v>
                </c:pt>
                <c:pt idx="1">
                  <c:v>0.26480000000000004</c:v>
                </c:pt>
              </c:numCache>
            </c:numRef>
          </c:val>
          <c:extLst>
            <c:ext xmlns:c16="http://schemas.microsoft.com/office/drawing/2014/chart" uri="{C3380CC4-5D6E-409C-BE32-E72D297353CC}">
              <c16:uniqueId val="{00000001-E46C-47FB-860A-A398C37B2596}"/>
            </c:ext>
          </c:extLst>
        </c:ser>
        <c:dLbls>
          <c:showLegendKey val="0"/>
          <c:showVal val="0"/>
          <c:showCatName val="0"/>
          <c:showSerName val="0"/>
          <c:showPercent val="0"/>
          <c:showBubbleSize val="0"/>
        </c:dLbls>
        <c:gapWidth val="219"/>
        <c:overlap val="-27"/>
        <c:axId val="2025042831"/>
        <c:axId val="2025043791"/>
      </c:barChart>
      <c:catAx>
        <c:axId val="202504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043791"/>
        <c:crosses val="autoZero"/>
        <c:auto val="1"/>
        <c:lblAlgn val="ctr"/>
        <c:lblOffset val="100"/>
        <c:noMultiLvlLbl val="0"/>
      </c:catAx>
      <c:valAx>
        <c:axId val="20250437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042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Charts!$J$53</c:f>
              <c:strCache>
                <c:ptCount val="1"/>
                <c:pt idx="0">
                  <c:v>Average AFI-Driven Direct FTE</c:v>
                </c:pt>
              </c:strCache>
            </c:strRef>
          </c:tx>
          <c:spPr>
            <a:solidFill>
              <a:schemeClr val="accent1"/>
            </a:solidFill>
            <a:ln>
              <a:noFill/>
            </a:ln>
            <a:effectLst/>
          </c:spPr>
          <c:invertIfNegative val="0"/>
          <c:cat>
            <c:strRef>
              <c:f>Charts!$K$52:$L$52</c:f>
              <c:strCache>
                <c:ptCount val="2"/>
                <c:pt idx="0">
                  <c:v>Satisfied to Very Satisfied</c:v>
                </c:pt>
                <c:pt idx="1">
                  <c:v>Dissatisfied</c:v>
                </c:pt>
              </c:strCache>
            </c:strRef>
          </c:cat>
          <c:val>
            <c:numRef>
              <c:f>Charts!$K$53:$L$53</c:f>
              <c:numCache>
                <c:formatCode>0%</c:formatCode>
                <c:ptCount val="2"/>
                <c:pt idx="0">
                  <c:v>0.87801182966206581</c:v>
                </c:pt>
                <c:pt idx="1">
                  <c:v>2.5941638480954769E-2</c:v>
                </c:pt>
              </c:numCache>
            </c:numRef>
          </c:val>
          <c:extLst>
            <c:ext xmlns:c16="http://schemas.microsoft.com/office/drawing/2014/chart" uri="{C3380CC4-5D6E-409C-BE32-E72D297353CC}">
              <c16:uniqueId val="{00000000-4751-4325-A430-BA472AB55495}"/>
            </c:ext>
          </c:extLst>
        </c:ser>
        <c:ser>
          <c:idx val="1"/>
          <c:order val="1"/>
          <c:tx>
            <c:strRef>
              <c:f>Charts!$J$54</c:f>
              <c:strCache>
                <c:ptCount val="1"/>
                <c:pt idx="0">
                  <c:v>Average Unemployed Indigenous Counterpart (Off-reserve)</c:v>
                </c:pt>
              </c:strCache>
            </c:strRef>
          </c:tx>
          <c:spPr>
            <a:solidFill>
              <a:schemeClr val="accent2"/>
            </a:solidFill>
            <a:ln>
              <a:noFill/>
            </a:ln>
            <a:effectLst/>
          </c:spPr>
          <c:invertIfNegative val="0"/>
          <c:cat>
            <c:strRef>
              <c:f>Charts!$K$52:$L$52</c:f>
              <c:strCache>
                <c:ptCount val="2"/>
                <c:pt idx="0">
                  <c:v>Satisfied to Very Satisfied</c:v>
                </c:pt>
                <c:pt idx="1">
                  <c:v>Dissatisfied</c:v>
                </c:pt>
              </c:strCache>
            </c:strRef>
          </c:cat>
          <c:val>
            <c:numRef>
              <c:f>Charts!$K$54:$L$54</c:f>
              <c:numCache>
                <c:formatCode>0%</c:formatCode>
                <c:ptCount val="2"/>
                <c:pt idx="0">
                  <c:v>0.73510000000000009</c:v>
                </c:pt>
                <c:pt idx="1">
                  <c:v>0.26480000000000004</c:v>
                </c:pt>
              </c:numCache>
            </c:numRef>
          </c:val>
          <c:extLst>
            <c:ext xmlns:c16="http://schemas.microsoft.com/office/drawing/2014/chart" uri="{C3380CC4-5D6E-409C-BE32-E72D297353CC}">
              <c16:uniqueId val="{00000001-4751-4325-A430-BA472AB55495}"/>
            </c:ext>
          </c:extLst>
        </c:ser>
        <c:dLbls>
          <c:showLegendKey val="0"/>
          <c:showVal val="0"/>
          <c:showCatName val="0"/>
          <c:showSerName val="0"/>
          <c:showPercent val="0"/>
          <c:showBubbleSize val="0"/>
        </c:dLbls>
        <c:gapWidth val="219"/>
        <c:overlap val="-27"/>
        <c:axId val="1930458927"/>
        <c:axId val="1930448367"/>
      </c:barChart>
      <c:catAx>
        <c:axId val="193045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0448367"/>
        <c:crosses val="autoZero"/>
        <c:auto val="1"/>
        <c:lblAlgn val="ctr"/>
        <c:lblOffset val="100"/>
        <c:noMultiLvlLbl val="0"/>
      </c:catAx>
      <c:valAx>
        <c:axId val="19304483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0458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CE4105C74DC74E88E8F7F21386C201" ma:contentTypeVersion="13" ma:contentTypeDescription="Create a new document." ma:contentTypeScope="" ma:versionID="f066d57be38f16e042c37f250020b950">
  <xsd:schema xmlns:xsd="http://www.w3.org/2001/XMLSchema" xmlns:xs="http://www.w3.org/2001/XMLSchema" xmlns:p="http://schemas.microsoft.com/office/2006/metadata/properties" xmlns:ns3="6f857c8b-7823-4a81-8ceb-7cd324334327" xmlns:ns4="78043914-20ac-42f9-84f5-152bdc816eb2" targetNamespace="http://schemas.microsoft.com/office/2006/metadata/properties" ma:root="true" ma:fieldsID="6402d9d1c4ebda5c0aa3b592c47c3aea" ns3:_="" ns4:_="">
    <xsd:import namespace="6f857c8b-7823-4a81-8ceb-7cd324334327"/>
    <xsd:import namespace="78043914-20ac-42f9-84f5-152bdc816e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7c8b-7823-4a81-8ceb-7cd324334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043914-20ac-42f9-84f5-152bdc816e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E1C42-3977-4198-B7A0-81A0CB05C355}">
  <ds:schemaRefs>
    <ds:schemaRef ds:uri="http://schemas.microsoft.com/sharepoint/v3/contenttype/forms"/>
  </ds:schemaRefs>
</ds:datastoreItem>
</file>

<file path=customXml/itemProps2.xml><?xml version="1.0" encoding="utf-8"?>
<ds:datastoreItem xmlns:ds="http://schemas.openxmlformats.org/officeDocument/2006/customXml" ds:itemID="{9513FE37-55BA-45C0-9913-969A345FA0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554C4E-61E1-4F77-9AAA-69F847D65B4F}">
  <ds:schemaRefs>
    <ds:schemaRef ds:uri="http://schemas.openxmlformats.org/officeDocument/2006/bibliography"/>
  </ds:schemaRefs>
</ds:datastoreItem>
</file>

<file path=customXml/itemProps4.xml><?xml version="1.0" encoding="utf-8"?>
<ds:datastoreItem xmlns:ds="http://schemas.openxmlformats.org/officeDocument/2006/customXml" ds:itemID="{D9F5DBA2-6510-45BC-A69E-5185C3B5E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7c8b-7823-4a81-8ceb-7cd324334327"/>
    <ds:schemaRef ds:uri="78043914-20ac-42f9-84f5-152bdc816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15962</Words>
  <Characters>90984</Characters>
  <Application>Microsoft Office Word</Application>
  <DocSecurity>8</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106733</CharactersWithSpaces>
  <SharedDoc>false</SharedDoc>
  <HLinks>
    <vt:vector size="306" baseType="variant">
      <vt:variant>
        <vt:i4>6029326</vt:i4>
      </vt:variant>
      <vt:variant>
        <vt:i4>291</vt:i4>
      </vt:variant>
      <vt:variant>
        <vt:i4>0</vt:i4>
      </vt:variant>
      <vt:variant>
        <vt:i4>5</vt:i4>
      </vt:variant>
      <vt:variant>
        <vt:lpwstr>https://www.oecd.org/sti/ind/global-value-chains.htm</vt:lpwstr>
      </vt:variant>
      <vt:variant>
        <vt:lpwstr/>
      </vt:variant>
      <vt:variant>
        <vt:i4>1769532</vt:i4>
      </vt:variant>
      <vt:variant>
        <vt:i4>284</vt:i4>
      </vt:variant>
      <vt:variant>
        <vt:i4>0</vt:i4>
      </vt:variant>
      <vt:variant>
        <vt:i4>5</vt:i4>
      </vt:variant>
      <vt:variant>
        <vt:lpwstr/>
      </vt:variant>
      <vt:variant>
        <vt:lpwstr>_Toc35345895</vt:lpwstr>
      </vt:variant>
      <vt:variant>
        <vt:i4>1703996</vt:i4>
      </vt:variant>
      <vt:variant>
        <vt:i4>278</vt:i4>
      </vt:variant>
      <vt:variant>
        <vt:i4>0</vt:i4>
      </vt:variant>
      <vt:variant>
        <vt:i4>5</vt:i4>
      </vt:variant>
      <vt:variant>
        <vt:lpwstr/>
      </vt:variant>
      <vt:variant>
        <vt:lpwstr>_Toc35345894</vt:lpwstr>
      </vt:variant>
      <vt:variant>
        <vt:i4>1900604</vt:i4>
      </vt:variant>
      <vt:variant>
        <vt:i4>272</vt:i4>
      </vt:variant>
      <vt:variant>
        <vt:i4>0</vt:i4>
      </vt:variant>
      <vt:variant>
        <vt:i4>5</vt:i4>
      </vt:variant>
      <vt:variant>
        <vt:lpwstr/>
      </vt:variant>
      <vt:variant>
        <vt:lpwstr>_Toc35345893</vt:lpwstr>
      </vt:variant>
      <vt:variant>
        <vt:i4>1835068</vt:i4>
      </vt:variant>
      <vt:variant>
        <vt:i4>266</vt:i4>
      </vt:variant>
      <vt:variant>
        <vt:i4>0</vt:i4>
      </vt:variant>
      <vt:variant>
        <vt:i4>5</vt:i4>
      </vt:variant>
      <vt:variant>
        <vt:lpwstr/>
      </vt:variant>
      <vt:variant>
        <vt:lpwstr>_Toc35345892</vt:lpwstr>
      </vt:variant>
      <vt:variant>
        <vt:i4>2031676</vt:i4>
      </vt:variant>
      <vt:variant>
        <vt:i4>260</vt:i4>
      </vt:variant>
      <vt:variant>
        <vt:i4>0</vt:i4>
      </vt:variant>
      <vt:variant>
        <vt:i4>5</vt:i4>
      </vt:variant>
      <vt:variant>
        <vt:lpwstr/>
      </vt:variant>
      <vt:variant>
        <vt:lpwstr>_Toc35345891</vt:lpwstr>
      </vt:variant>
      <vt:variant>
        <vt:i4>1966140</vt:i4>
      </vt:variant>
      <vt:variant>
        <vt:i4>254</vt:i4>
      </vt:variant>
      <vt:variant>
        <vt:i4>0</vt:i4>
      </vt:variant>
      <vt:variant>
        <vt:i4>5</vt:i4>
      </vt:variant>
      <vt:variant>
        <vt:lpwstr/>
      </vt:variant>
      <vt:variant>
        <vt:lpwstr>_Toc35345890</vt:lpwstr>
      </vt:variant>
      <vt:variant>
        <vt:i4>1507389</vt:i4>
      </vt:variant>
      <vt:variant>
        <vt:i4>248</vt:i4>
      </vt:variant>
      <vt:variant>
        <vt:i4>0</vt:i4>
      </vt:variant>
      <vt:variant>
        <vt:i4>5</vt:i4>
      </vt:variant>
      <vt:variant>
        <vt:lpwstr/>
      </vt:variant>
      <vt:variant>
        <vt:lpwstr>_Toc35345889</vt:lpwstr>
      </vt:variant>
      <vt:variant>
        <vt:i4>1441853</vt:i4>
      </vt:variant>
      <vt:variant>
        <vt:i4>242</vt:i4>
      </vt:variant>
      <vt:variant>
        <vt:i4>0</vt:i4>
      </vt:variant>
      <vt:variant>
        <vt:i4>5</vt:i4>
      </vt:variant>
      <vt:variant>
        <vt:lpwstr/>
      </vt:variant>
      <vt:variant>
        <vt:lpwstr>_Toc35345888</vt:lpwstr>
      </vt:variant>
      <vt:variant>
        <vt:i4>1638461</vt:i4>
      </vt:variant>
      <vt:variant>
        <vt:i4>236</vt:i4>
      </vt:variant>
      <vt:variant>
        <vt:i4>0</vt:i4>
      </vt:variant>
      <vt:variant>
        <vt:i4>5</vt:i4>
      </vt:variant>
      <vt:variant>
        <vt:lpwstr/>
      </vt:variant>
      <vt:variant>
        <vt:lpwstr>_Toc35345887</vt:lpwstr>
      </vt:variant>
      <vt:variant>
        <vt:i4>1572925</vt:i4>
      </vt:variant>
      <vt:variant>
        <vt:i4>230</vt:i4>
      </vt:variant>
      <vt:variant>
        <vt:i4>0</vt:i4>
      </vt:variant>
      <vt:variant>
        <vt:i4>5</vt:i4>
      </vt:variant>
      <vt:variant>
        <vt:lpwstr/>
      </vt:variant>
      <vt:variant>
        <vt:lpwstr>_Toc35345886</vt:lpwstr>
      </vt:variant>
      <vt:variant>
        <vt:i4>1769533</vt:i4>
      </vt:variant>
      <vt:variant>
        <vt:i4>224</vt:i4>
      </vt:variant>
      <vt:variant>
        <vt:i4>0</vt:i4>
      </vt:variant>
      <vt:variant>
        <vt:i4>5</vt:i4>
      </vt:variant>
      <vt:variant>
        <vt:lpwstr/>
      </vt:variant>
      <vt:variant>
        <vt:lpwstr>_Toc35345885</vt:lpwstr>
      </vt:variant>
      <vt:variant>
        <vt:i4>1703997</vt:i4>
      </vt:variant>
      <vt:variant>
        <vt:i4>218</vt:i4>
      </vt:variant>
      <vt:variant>
        <vt:i4>0</vt:i4>
      </vt:variant>
      <vt:variant>
        <vt:i4>5</vt:i4>
      </vt:variant>
      <vt:variant>
        <vt:lpwstr/>
      </vt:variant>
      <vt:variant>
        <vt:lpwstr>_Toc35345884</vt:lpwstr>
      </vt:variant>
      <vt:variant>
        <vt:i4>1900605</vt:i4>
      </vt:variant>
      <vt:variant>
        <vt:i4>212</vt:i4>
      </vt:variant>
      <vt:variant>
        <vt:i4>0</vt:i4>
      </vt:variant>
      <vt:variant>
        <vt:i4>5</vt:i4>
      </vt:variant>
      <vt:variant>
        <vt:lpwstr/>
      </vt:variant>
      <vt:variant>
        <vt:lpwstr>_Toc35345883</vt:lpwstr>
      </vt:variant>
      <vt:variant>
        <vt:i4>1835069</vt:i4>
      </vt:variant>
      <vt:variant>
        <vt:i4>206</vt:i4>
      </vt:variant>
      <vt:variant>
        <vt:i4>0</vt:i4>
      </vt:variant>
      <vt:variant>
        <vt:i4>5</vt:i4>
      </vt:variant>
      <vt:variant>
        <vt:lpwstr/>
      </vt:variant>
      <vt:variant>
        <vt:lpwstr>_Toc35345882</vt:lpwstr>
      </vt:variant>
      <vt:variant>
        <vt:i4>2031677</vt:i4>
      </vt:variant>
      <vt:variant>
        <vt:i4>200</vt:i4>
      </vt:variant>
      <vt:variant>
        <vt:i4>0</vt:i4>
      </vt:variant>
      <vt:variant>
        <vt:i4>5</vt:i4>
      </vt:variant>
      <vt:variant>
        <vt:lpwstr/>
      </vt:variant>
      <vt:variant>
        <vt:lpwstr>_Toc35345881</vt:lpwstr>
      </vt:variant>
      <vt:variant>
        <vt:i4>1966141</vt:i4>
      </vt:variant>
      <vt:variant>
        <vt:i4>194</vt:i4>
      </vt:variant>
      <vt:variant>
        <vt:i4>0</vt:i4>
      </vt:variant>
      <vt:variant>
        <vt:i4>5</vt:i4>
      </vt:variant>
      <vt:variant>
        <vt:lpwstr/>
      </vt:variant>
      <vt:variant>
        <vt:lpwstr>_Toc35345880</vt:lpwstr>
      </vt:variant>
      <vt:variant>
        <vt:i4>1507378</vt:i4>
      </vt:variant>
      <vt:variant>
        <vt:i4>188</vt:i4>
      </vt:variant>
      <vt:variant>
        <vt:i4>0</vt:i4>
      </vt:variant>
      <vt:variant>
        <vt:i4>5</vt:i4>
      </vt:variant>
      <vt:variant>
        <vt:lpwstr/>
      </vt:variant>
      <vt:variant>
        <vt:lpwstr>_Toc35345879</vt:lpwstr>
      </vt:variant>
      <vt:variant>
        <vt:i4>1441842</vt:i4>
      </vt:variant>
      <vt:variant>
        <vt:i4>182</vt:i4>
      </vt:variant>
      <vt:variant>
        <vt:i4>0</vt:i4>
      </vt:variant>
      <vt:variant>
        <vt:i4>5</vt:i4>
      </vt:variant>
      <vt:variant>
        <vt:lpwstr/>
      </vt:variant>
      <vt:variant>
        <vt:lpwstr>_Toc35345878</vt:lpwstr>
      </vt:variant>
      <vt:variant>
        <vt:i4>1638450</vt:i4>
      </vt:variant>
      <vt:variant>
        <vt:i4>176</vt:i4>
      </vt:variant>
      <vt:variant>
        <vt:i4>0</vt:i4>
      </vt:variant>
      <vt:variant>
        <vt:i4>5</vt:i4>
      </vt:variant>
      <vt:variant>
        <vt:lpwstr/>
      </vt:variant>
      <vt:variant>
        <vt:lpwstr>_Toc35345877</vt:lpwstr>
      </vt:variant>
      <vt:variant>
        <vt:i4>1572914</vt:i4>
      </vt:variant>
      <vt:variant>
        <vt:i4>170</vt:i4>
      </vt:variant>
      <vt:variant>
        <vt:i4>0</vt:i4>
      </vt:variant>
      <vt:variant>
        <vt:i4>5</vt:i4>
      </vt:variant>
      <vt:variant>
        <vt:lpwstr/>
      </vt:variant>
      <vt:variant>
        <vt:lpwstr>_Toc35345876</vt:lpwstr>
      </vt:variant>
      <vt:variant>
        <vt:i4>1769522</vt:i4>
      </vt:variant>
      <vt:variant>
        <vt:i4>164</vt:i4>
      </vt:variant>
      <vt:variant>
        <vt:i4>0</vt:i4>
      </vt:variant>
      <vt:variant>
        <vt:i4>5</vt:i4>
      </vt:variant>
      <vt:variant>
        <vt:lpwstr/>
      </vt:variant>
      <vt:variant>
        <vt:lpwstr>_Toc35345875</vt:lpwstr>
      </vt:variant>
      <vt:variant>
        <vt:i4>1703986</vt:i4>
      </vt:variant>
      <vt:variant>
        <vt:i4>158</vt:i4>
      </vt:variant>
      <vt:variant>
        <vt:i4>0</vt:i4>
      </vt:variant>
      <vt:variant>
        <vt:i4>5</vt:i4>
      </vt:variant>
      <vt:variant>
        <vt:lpwstr/>
      </vt:variant>
      <vt:variant>
        <vt:lpwstr>_Toc35345874</vt:lpwstr>
      </vt:variant>
      <vt:variant>
        <vt:i4>1900594</vt:i4>
      </vt:variant>
      <vt:variant>
        <vt:i4>152</vt:i4>
      </vt:variant>
      <vt:variant>
        <vt:i4>0</vt:i4>
      </vt:variant>
      <vt:variant>
        <vt:i4>5</vt:i4>
      </vt:variant>
      <vt:variant>
        <vt:lpwstr/>
      </vt:variant>
      <vt:variant>
        <vt:lpwstr>_Toc35345873</vt:lpwstr>
      </vt:variant>
      <vt:variant>
        <vt:i4>1835058</vt:i4>
      </vt:variant>
      <vt:variant>
        <vt:i4>146</vt:i4>
      </vt:variant>
      <vt:variant>
        <vt:i4>0</vt:i4>
      </vt:variant>
      <vt:variant>
        <vt:i4>5</vt:i4>
      </vt:variant>
      <vt:variant>
        <vt:lpwstr/>
      </vt:variant>
      <vt:variant>
        <vt:lpwstr>_Toc35345872</vt:lpwstr>
      </vt:variant>
      <vt:variant>
        <vt:i4>2031666</vt:i4>
      </vt:variant>
      <vt:variant>
        <vt:i4>140</vt:i4>
      </vt:variant>
      <vt:variant>
        <vt:i4>0</vt:i4>
      </vt:variant>
      <vt:variant>
        <vt:i4>5</vt:i4>
      </vt:variant>
      <vt:variant>
        <vt:lpwstr/>
      </vt:variant>
      <vt:variant>
        <vt:lpwstr>_Toc35345871</vt:lpwstr>
      </vt:variant>
      <vt:variant>
        <vt:i4>1966130</vt:i4>
      </vt:variant>
      <vt:variant>
        <vt:i4>134</vt:i4>
      </vt:variant>
      <vt:variant>
        <vt:i4>0</vt:i4>
      </vt:variant>
      <vt:variant>
        <vt:i4>5</vt:i4>
      </vt:variant>
      <vt:variant>
        <vt:lpwstr/>
      </vt:variant>
      <vt:variant>
        <vt:lpwstr>_Toc35345870</vt:lpwstr>
      </vt:variant>
      <vt:variant>
        <vt:i4>1507379</vt:i4>
      </vt:variant>
      <vt:variant>
        <vt:i4>128</vt:i4>
      </vt:variant>
      <vt:variant>
        <vt:i4>0</vt:i4>
      </vt:variant>
      <vt:variant>
        <vt:i4>5</vt:i4>
      </vt:variant>
      <vt:variant>
        <vt:lpwstr/>
      </vt:variant>
      <vt:variant>
        <vt:lpwstr>_Toc35345869</vt:lpwstr>
      </vt:variant>
      <vt:variant>
        <vt:i4>1441843</vt:i4>
      </vt:variant>
      <vt:variant>
        <vt:i4>122</vt:i4>
      </vt:variant>
      <vt:variant>
        <vt:i4>0</vt:i4>
      </vt:variant>
      <vt:variant>
        <vt:i4>5</vt:i4>
      </vt:variant>
      <vt:variant>
        <vt:lpwstr/>
      </vt:variant>
      <vt:variant>
        <vt:lpwstr>_Toc35345868</vt:lpwstr>
      </vt:variant>
      <vt:variant>
        <vt:i4>1638451</vt:i4>
      </vt:variant>
      <vt:variant>
        <vt:i4>116</vt:i4>
      </vt:variant>
      <vt:variant>
        <vt:i4>0</vt:i4>
      </vt:variant>
      <vt:variant>
        <vt:i4>5</vt:i4>
      </vt:variant>
      <vt:variant>
        <vt:lpwstr/>
      </vt:variant>
      <vt:variant>
        <vt:lpwstr>_Toc35345867</vt:lpwstr>
      </vt:variant>
      <vt:variant>
        <vt:i4>1572915</vt:i4>
      </vt:variant>
      <vt:variant>
        <vt:i4>110</vt:i4>
      </vt:variant>
      <vt:variant>
        <vt:i4>0</vt:i4>
      </vt:variant>
      <vt:variant>
        <vt:i4>5</vt:i4>
      </vt:variant>
      <vt:variant>
        <vt:lpwstr/>
      </vt:variant>
      <vt:variant>
        <vt:lpwstr>_Toc35345866</vt:lpwstr>
      </vt:variant>
      <vt:variant>
        <vt:i4>1769523</vt:i4>
      </vt:variant>
      <vt:variant>
        <vt:i4>104</vt:i4>
      </vt:variant>
      <vt:variant>
        <vt:i4>0</vt:i4>
      </vt:variant>
      <vt:variant>
        <vt:i4>5</vt:i4>
      </vt:variant>
      <vt:variant>
        <vt:lpwstr/>
      </vt:variant>
      <vt:variant>
        <vt:lpwstr>_Toc35345865</vt:lpwstr>
      </vt:variant>
      <vt:variant>
        <vt:i4>1703987</vt:i4>
      </vt:variant>
      <vt:variant>
        <vt:i4>98</vt:i4>
      </vt:variant>
      <vt:variant>
        <vt:i4>0</vt:i4>
      </vt:variant>
      <vt:variant>
        <vt:i4>5</vt:i4>
      </vt:variant>
      <vt:variant>
        <vt:lpwstr/>
      </vt:variant>
      <vt:variant>
        <vt:lpwstr>_Toc35345864</vt:lpwstr>
      </vt:variant>
      <vt:variant>
        <vt:i4>1900595</vt:i4>
      </vt:variant>
      <vt:variant>
        <vt:i4>92</vt:i4>
      </vt:variant>
      <vt:variant>
        <vt:i4>0</vt:i4>
      </vt:variant>
      <vt:variant>
        <vt:i4>5</vt:i4>
      </vt:variant>
      <vt:variant>
        <vt:lpwstr/>
      </vt:variant>
      <vt:variant>
        <vt:lpwstr>_Toc35345863</vt:lpwstr>
      </vt:variant>
      <vt:variant>
        <vt:i4>1835059</vt:i4>
      </vt:variant>
      <vt:variant>
        <vt:i4>86</vt:i4>
      </vt:variant>
      <vt:variant>
        <vt:i4>0</vt:i4>
      </vt:variant>
      <vt:variant>
        <vt:i4>5</vt:i4>
      </vt:variant>
      <vt:variant>
        <vt:lpwstr/>
      </vt:variant>
      <vt:variant>
        <vt:lpwstr>_Toc35345862</vt:lpwstr>
      </vt:variant>
      <vt:variant>
        <vt:i4>2031667</vt:i4>
      </vt:variant>
      <vt:variant>
        <vt:i4>80</vt:i4>
      </vt:variant>
      <vt:variant>
        <vt:i4>0</vt:i4>
      </vt:variant>
      <vt:variant>
        <vt:i4>5</vt:i4>
      </vt:variant>
      <vt:variant>
        <vt:lpwstr/>
      </vt:variant>
      <vt:variant>
        <vt:lpwstr>_Toc35345861</vt:lpwstr>
      </vt:variant>
      <vt:variant>
        <vt:i4>1966131</vt:i4>
      </vt:variant>
      <vt:variant>
        <vt:i4>74</vt:i4>
      </vt:variant>
      <vt:variant>
        <vt:i4>0</vt:i4>
      </vt:variant>
      <vt:variant>
        <vt:i4>5</vt:i4>
      </vt:variant>
      <vt:variant>
        <vt:lpwstr/>
      </vt:variant>
      <vt:variant>
        <vt:lpwstr>_Toc35345860</vt:lpwstr>
      </vt:variant>
      <vt:variant>
        <vt:i4>1507376</vt:i4>
      </vt:variant>
      <vt:variant>
        <vt:i4>68</vt:i4>
      </vt:variant>
      <vt:variant>
        <vt:i4>0</vt:i4>
      </vt:variant>
      <vt:variant>
        <vt:i4>5</vt:i4>
      </vt:variant>
      <vt:variant>
        <vt:lpwstr/>
      </vt:variant>
      <vt:variant>
        <vt:lpwstr>_Toc35345859</vt:lpwstr>
      </vt:variant>
      <vt:variant>
        <vt:i4>1441840</vt:i4>
      </vt:variant>
      <vt:variant>
        <vt:i4>62</vt:i4>
      </vt:variant>
      <vt:variant>
        <vt:i4>0</vt:i4>
      </vt:variant>
      <vt:variant>
        <vt:i4>5</vt:i4>
      </vt:variant>
      <vt:variant>
        <vt:lpwstr/>
      </vt:variant>
      <vt:variant>
        <vt:lpwstr>_Toc35345858</vt:lpwstr>
      </vt:variant>
      <vt:variant>
        <vt:i4>1638448</vt:i4>
      </vt:variant>
      <vt:variant>
        <vt:i4>56</vt:i4>
      </vt:variant>
      <vt:variant>
        <vt:i4>0</vt:i4>
      </vt:variant>
      <vt:variant>
        <vt:i4>5</vt:i4>
      </vt:variant>
      <vt:variant>
        <vt:lpwstr/>
      </vt:variant>
      <vt:variant>
        <vt:lpwstr>_Toc35345857</vt:lpwstr>
      </vt:variant>
      <vt:variant>
        <vt:i4>1572912</vt:i4>
      </vt:variant>
      <vt:variant>
        <vt:i4>50</vt:i4>
      </vt:variant>
      <vt:variant>
        <vt:i4>0</vt:i4>
      </vt:variant>
      <vt:variant>
        <vt:i4>5</vt:i4>
      </vt:variant>
      <vt:variant>
        <vt:lpwstr/>
      </vt:variant>
      <vt:variant>
        <vt:lpwstr>_Toc35345856</vt:lpwstr>
      </vt:variant>
      <vt:variant>
        <vt:i4>1769520</vt:i4>
      </vt:variant>
      <vt:variant>
        <vt:i4>44</vt:i4>
      </vt:variant>
      <vt:variant>
        <vt:i4>0</vt:i4>
      </vt:variant>
      <vt:variant>
        <vt:i4>5</vt:i4>
      </vt:variant>
      <vt:variant>
        <vt:lpwstr/>
      </vt:variant>
      <vt:variant>
        <vt:lpwstr>_Toc35345855</vt:lpwstr>
      </vt:variant>
      <vt:variant>
        <vt:i4>1703984</vt:i4>
      </vt:variant>
      <vt:variant>
        <vt:i4>38</vt:i4>
      </vt:variant>
      <vt:variant>
        <vt:i4>0</vt:i4>
      </vt:variant>
      <vt:variant>
        <vt:i4>5</vt:i4>
      </vt:variant>
      <vt:variant>
        <vt:lpwstr/>
      </vt:variant>
      <vt:variant>
        <vt:lpwstr>_Toc35345854</vt:lpwstr>
      </vt:variant>
      <vt:variant>
        <vt:i4>1900592</vt:i4>
      </vt:variant>
      <vt:variant>
        <vt:i4>32</vt:i4>
      </vt:variant>
      <vt:variant>
        <vt:i4>0</vt:i4>
      </vt:variant>
      <vt:variant>
        <vt:i4>5</vt:i4>
      </vt:variant>
      <vt:variant>
        <vt:lpwstr/>
      </vt:variant>
      <vt:variant>
        <vt:lpwstr>_Toc35345853</vt:lpwstr>
      </vt:variant>
      <vt:variant>
        <vt:i4>1835056</vt:i4>
      </vt:variant>
      <vt:variant>
        <vt:i4>26</vt:i4>
      </vt:variant>
      <vt:variant>
        <vt:i4>0</vt:i4>
      </vt:variant>
      <vt:variant>
        <vt:i4>5</vt:i4>
      </vt:variant>
      <vt:variant>
        <vt:lpwstr/>
      </vt:variant>
      <vt:variant>
        <vt:lpwstr>_Toc35345852</vt:lpwstr>
      </vt:variant>
      <vt:variant>
        <vt:i4>2031664</vt:i4>
      </vt:variant>
      <vt:variant>
        <vt:i4>20</vt:i4>
      </vt:variant>
      <vt:variant>
        <vt:i4>0</vt:i4>
      </vt:variant>
      <vt:variant>
        <vt:i4>5</vt:i4>
      </vt:variant>
      <vt:variant>
        <vt:lpwstr/>
      </vt:variant>
      <vt:variant>
        <vt:lpwstr>_Toc35345851</vt:lpwstr>
      </vt:variant>
      <vt:variant>
        <vt:i4>1966128</vt:i4>
      </vt:variant>
      <vt:variant>
        <vt:i4>14</vt:i4>
      </vt:variant>
      <vt:variant>
        <vt:i4>0</vt:i4>
      </vt:variant>
      <vt:variant>
        <vt:i4>5</vt:i4>
      </vt:variant>
      <vt:variant>
        <vt:lpwstr/>
      </vt:variant>
      <vt:variant>
        <vt:lpwstr>_Toc35345850</vt:lpwstr>
      </vt:variant>
      <vt:variant>
        <vt:i4>1507377</vt:i4>
      </vt:variant>
      <vt:variant>
        <vt:i4>8</vt:i4>
      </vt:variant>
      <vt:variant>
        <vt:i4>0</vt:i4>
      </vt:variant>
      <vt:variant>
        <vt:i4>5</vt:i4>
      </vt:variant>
      <vt:variant>
        <vt:lpwstr/>
      </vt:variant>
      <vt:variant>
        <vt:lpwstr>_Toc35345849</vt:lpwstr>
      </vt:variant>
      <vt:variant>
        <vt:i4>1441841</vt:i4>
      </vt:variant>
      <vt:variant>
        <vt:i4>2</vt:i4>
      </vt:variant>
      <vt:variant>
        <vt:i4>0</vt:i4>
      </vt:variant>
      <vt:variant>
        <vt:i4>5</vt:i4>
      </vt:variant>
      <vt:variant>
        <vt:lpwstr/>
      </vt:variant>
      <vt:variant>
        <vt:lpwstr>_Toc35345848</vt:lpwstr>
      </vt:variant>
      <vt:variant>
        <vt:i4>1114183</vt:i4>
      </vt:variant>
      <vt:variant>
        <vt:i4>423</vt:i4>
      </vt:variant>
      <vt:variant>
        <vt:i4>0</vt:i4>
      </vt:variant>
      <vt:variant>
        <vt:i4>5</vt:i4>
      </vt:variant>
      <vt:variant>
        <vt:lpwstr>https://www150.statcan.gc.ca/n1/daily-quotidien/170228/dq170228b-eng.htm</vt:lpwstr>
      </vt:variant>
      <vt:variant>
        <vt:lpwstr/>
      </vt:variant>
      <vt:variant>
        <vt:i4>1769545</vt:i4>
      </vt:variant>
      <vt:variant>
        <vt:i4>162</vt:i4>
      </vt:variant>
      <vt:variant>
        <vt:i4>0</vt:i4>
      </vt:variant>
      <vt:variant>
        <vt:i4>5</vt:i4>
      </vt:variant>
      <vt:variant>
        <vt:lpwstr>https://www.dcvelocity.com/articles/20190402-celadon-sells-off-a-s-kinard-and-buckler-transport-subsidiaries/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Nelson</dc:creator>
  <cp:keywords/>
  <dc:description/>
  <cp:lastModifiedBy>Adam Fiser</cp:lastModifiedBy>
  <cp:revision>5</cp:revision>
  <cp:lastPrinted>2023-06-05T17:51:00Z</cp:lastPrinted>
  <dcterms:created xsi:type="dcterms:W3CDTF">2023-06-05T17:49:00Z</dcterms:created>
  <dcterms:modified xsi:type="dcterms:W3CDTF">2023-06-05T17:51:00Z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0x0101008FCE4105C74DC74E88E8F7F21386C201</vt:lpwstr>
  </property>
  <property fmtid="{D5CDD505-2E9C-101B-9397-08002B2CF9AE}" pid="3" name="ZOTERO_PREF_1">
    <vt:lpwstr>&lt;data data-version="3" zotero-version="6.0.26"&gt;&lt;session id="nSE4rmj2"/&gt;&lt;style id="http://www.zotero.org/styles/chicago-note-bibliography-16th-edition" locale="en-US" hasBibliography="1" bibliographyStyleHasBeenSet="1"/&gt;&lt;prefs&gt;&lt;pref name="fieldType" value=</vt:lpwstr>
  </property>
  <property fmtid="{D5CDD505-2E9C-101B-9397-08002B2CF9AE}" pid="4" name="ZOTERO_PREF_2">
    <vt:lpwstr>"Field"/&gt;&lt;pref name="automaticJournalAbbreviations" value="true"/&gt;&lt;pref name="noteType" value="1"/&gt;&lt;pref name="dontAskDelayCitationUpdates" value="true"/&gt;&lt;/prefs&gt;&lt;/data&gt;</vt:lpwstr>
  </property>
</Properties>
</file>